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方正小标宋简体" w:hAnsi="方正小标宋简体" w:eastAsia="方正小标宋简体" w:cs="方正小标宋简体"/>
          <w:i w:val="0"/>
          <w:caps w:val="0"/>
          <w:color w:val="333333"/>
          <w:spacing w:val="0"/>
          <w:sz w:val="36"/>
          <w:szCs w:val="36"/>
          <w:shd w:val="clear" w:fill="FFFFFF"/>
        </w:rPr>
      </w:pPr>
      <w:bookmarkStart w:id="0" w:name="_GoBack"/>
      <w:bookmarkEnd w:id="0"/>
      <w:r>
        <w:rPr>
          <w:rFonts w:hint="eastAsia" w:ascii="方正小标宋简体" w:hAnsi="方正小标宋简体" w:eastAsia="方正小标宋简体" w:cs="方正小标宋简体"/>
          <w:i w:val="0"/>
          <w:caps w:val="0"/>
          <w:color w:val="333333"/>
          <w:spacing w:val="0"/>
          <w:sz w:val="36"/>
          <w:szCs w:val="36"/>
          <w:shd w:val="clear" w:fill="FFFFFF"/>
        </w:rPr>
        <w:t>财政部 国家税务总局</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方正小标宋简体" w:hAnsi="方正小标宋简体" w:eastAsia="方正小标宋简体" w:cs="方正小标宋简体"/>
          <w:i w:val="0"/>
          <w:caps w:val="0"/>
          <w:color w:val="333333"/>
          <w:spacing w:val="0"/>
          <w:sz w:val="36"/>
          <w:szCs w:val="36"/>
          <w:shd w:val="clear" w:fill="FFFFFF"/>
        </w:rPr>
      </w:pPr>
      <w:r>
        <w:rPr>
          <w:rFonts w:hint="eastAsia" w:ascii="方正小标宋简体" w:hAnsi="方正小标宋简体" w:eastAsia="方正小标宋简体" w:cs="方正小标宋简体"/>
          <w:i w:val="0"/>
          <w:caps w:val="0"/>
          <w:color w:val="333333"/>
          <w:spacing w:val="0"/>
          <w:sz w:val="36"/>
          <w:szCs w:val="36"/>
          <w:shd w:val="clear" w:fill="FFFFFF"/>
        </w:rPr>
        <w:t>关于证券机构技术和制度准备完成后个人转让</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方正小标宋简体" w:hAnsi="方正小标宋简体" w:eastAsia="方正小标宋简体" w:cs="方正小标宋简体"/>
          <w:i w:val="0"/>
          <w:caps w:val="0"/>
          <w:color w:val="333333"/>
          <w:spacing w:val="0"/>
          <w:sz w:val="36"/>
          <w:szCs w:val="36"/>
          <w:shd w:val="clear" w:fill="FFFFFF"/>
        </w:rPr>
      </w:pPr>
      <w:r>
        <w:rPr>
          <w:rFonts w:hint="eastAsia" w:ascii="方正小标宋简体" w:hAnsi="方正小标宋简体" w:eastAsia="方正小标宋简体" w:cs="方正小标宋简体"/>
          <w:i w:val="0"/>
          <w:caps w:val="0"/>
          <w:color w:val="333333"/>
          <w:spacing w:val="0"/>
          <w:sz w:val="36"/>
          <w:szCs w:val="36"/>
          <w:shd w:val="clear" w:fill="FFFFFF"/>
        </w:rPr>
        <w:t>上市公司限售股有关个人所得税问题的通知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600" w:firstLineChars="200"/>
        <w:jc w:val="left"/>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begin"/>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instrText xml:space="preserve"> HYPERLINK "http://www.chinatax.gov.cn/n810341/n810765/n812151/n812436/c1084188/content.html" \t "http://www.chinatax.gov.cn/n810341/n810765/n812151/n812436/c1084188/_blank" </w:instrText>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separate"/>
      </w:r>
      <w:r>
        <w:rPr>
          <w:rFonts w:hint="eastAsia" w:ascii="仿宋_GB2312" w:hAnsi="仿宋_GB2312" w:eastAsia="仿宋_GB2312" w:cs="仿宋_GB2312"/>
          <w:i w:val="0"/>
          <w:caps w:val="0"/>
          <w:color w:val="333333"/>
          <w:spacing w:val="0"/>
          <w:kern w:val="0"/>
          <w:sz w:val="30"/>
          <w:szCs w:val="30"/>
          <w:u w:val="none"/>
          <w:bdr w:val="none" w:color="auto" w:sz="0" w:space="0"/>
          <w:lang w:val="en-US" w:eastAsia="zh-CN" w:bidi="ar"/>
        </w:rPr>
        <w:fldChar w:fldCharType="end"/>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600" w:firstLineChars="200"/>
        <w:jc w:val="left"/>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各省、自治区、直辖市、计划单列市财政厅（局）、地方税务局，宁夏、西藏、青海省（自治区）国家税务局，新疆生产建设兵团财务局，上海、深圳证券交易所，中国证券登记结算公司，各证券公司：</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根据《财政部 国家税务总局 证监会关于个人转让上市公司限售股所得征收个人所得税有关问题的通知》（财税[2009]167号）和《财政部 国家税务总局 证监会关于个人转让上市公司限售股所得征收个人所得税有关问题的补充通知》（财税[2010]70号）有关规定，为进一步完善个人转让上市公司限售股所得征收个人所得税办法，现就有关问题通知如下：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一、自2012年3月1日起，网上发行资金申购日在2012年3月1日（含）之后的首次公开发行上市公司（以下简称新上市公司）按照证券登记结算公司业务规定做好各项资料准备工作，在向证券登记结算公司申请办理股份初始登记时一并申报由个人限售股股东提供的有关限售股成本原值详细资料，以及会计师事务所或税务师事务所对该资料出具的鉴证报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限售股成本原值，是指限售股买入时的买入价及按照规定缴纳的有关税费。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二、新上市公司提供的成本原值资料和鉴证报告中应包括但不限于以下内容：证券持有人名称、有效身份证照号码、证券账户号码、新上市公司全称、持有新上市公司限售股数量、持有新上市公司限售股每股成本原值等。</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新上市公司每位持有限售股的个人股东应仅申报一个成本原值。个人取得的限售股有不同成本的，应对所持限售股以每次取得股份数量为权重进行成本加权平均以计算出每股的成本原值，即：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分次取得限售股的加权平均成本＝（第一次取得限售股的每股成本原值×第一次取得限售股的股份数量+……+第n次取得限售股的每股成本原值×第n次取得限售股的股份数量）÷累计取得限售股的股份数量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三、证券登记结算公司收到新上市公司提供的相关资料后，应及时将有关成本原值数据植入证券结算系统。个人转让新上市公司限售股的，证券登记结算公司根据实际转让收入和植入证券结算系统的标的限售股成本原值，以实际转让收入减去成本原值和合理税费后的余额，适用20%税率，直接计算需扣缴的个人所得税额。</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合理税费是指转让限售股过程中发生的印花税、佣金、过户费等与交易相关的税费。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四、新上市公司在申请办理股份初始登记时，确实无法提供有关成本原值资料和鉴证报告的，证券登记结算公司在完成股份初始登记后，将不再接受新上市公司申报有关成本原值资料和鉴证报告，并按规定以实际转让收入的15%核定限售股成本原值和合理税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五、个人在证券登记结算公司以非交易过户方式办理应纳税未解禁限售股过户登记的，受让方所取得限售股的成本原值按照转让方完税凭证、《限售股转让所得个人所得税清算申报表》等材料确定的转让价格进行确定；如转让方证券账户为机构账户，在受让方再次转让该限售股时，以受让方实际转让收入的15%核定其转让限售股的成本原值和合理税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六、对采取自行纳税申报方式的纳税人，其个人转让限售股不需要纳税或应纳税额为零的，纳税人应持经主管税务机关审核确认并加盖受理印章的《限售股转让所得个人所得税清算申报表》原件，到证券登记结算公司办理限售股过户手续。未提供原件的，证券登记结算公司不予办理过户手续。</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七、对于个人持有的新上市公司未解禁限售股被司法扣划至其他个人证券账户，如国家有权机关要求强制执行但未能提供完税凭证等材料，证券登记结算公司在履行告知义务后予以协助执行，并在受让方转让该限售股时，以其实际转让收入的15%核定其转让限售股的成本原值和合理税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八、证券公司应将每月所扣个人所得税款，于次月15日内缴入国库，并向当地主管税务机关报送《限售股转让所得扣缴个人所得税报告表》及税务机关要求报送的其他资料。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rPr>
      </w:pPr>
      <w:r>
        <w:rPr>
          <w:rFonts w:hint="eastAsia" w:ascii="仿宋_GB2312" w:hAnsi="仿宋_GB2312" w:eastAsia="仿宋_GB2312" w:cs="仿宋_GB2312"/>
          <w:i w:val="0"/>
          <w:caps w:val="0"/>
          <w:color w:val="333333"/>
          <w:spacing w:val="0"/>
          <w:sz w:val="30"/>
          <w:szCs w:val="30"/>
          <w:bdr w:val="none" w:color="auto" w:sz="0" w:space="0"/>
        </w:rPr>
        <w:t>九、对个人转让新上市公司限售股，按财税[2010]70号文件规定，需纳税人自行申报纳税的，继续按照原规定以及本通知第六、七条的相关规定执行。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color w:val="333333"/>
          <w:sz w:val="30"/>
          <w:szCs w:val="30"/>
        </w:rPr>
      </w:pPr>
      <w:r>
        <w:rPr>
          <w:rFonts w:hint="eastAsia" w:ascii="仿宋_GB2312" w:hAnsi="仿宋_GB2312" w:eastAsia="仿宋_GB2312" w:cs="仿宋_GB2312"/>
          <w:i w:val="0"/>
          <w:caps w:val="0"/>
          <w:color w:val="333333"/>
          <w:spacing w:val="0"/>
          <w:sz w:val="30"/>
          <w:szCs w:val="30"/>
          <w:bdr w:val="none" w:color="auto" w:sz="0" w:space="0"/>
        </w:rPr>
        <w:t>请遵照执行。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left="0" w:right="0" w:firstLine="600" w:firstLineChars="200"/>
        <w:jc w:val="right"/>
        <w:textAlignment w:val="auto"/>
        <w:rPr>
          <w:rFonts w:hint="eastAsia" w:ascii="仿宋_GB2312" w:hAnsi="仿宋_GB2312" w:eastAsia="仿宋_GB2312" w:cs="仿宋_GB2312"/>
          <w:color w:val="333333"/>
          <w:sz w:val="30"/>
          <w:szCs w:val="30"/>
        </w:rPr>
      </w:pPr>
      <w:r>
        <w:rPr>
          <w:rFonts w:hint="eastAsia" w:ascii="仿宋_GB2312" w:hAnsi="仿宋_GB2312" w:eastAsia="仿宋_GB2312" w:cs="仿宋_GB2312"/>
          <w:i w:val="0"/>
          <w:caps w:val="0"/>
          <w:color w:val="333333"/>
          <w:spacing w:val="0"/>
          <w:sz w:val="30"/>
          <w:szCs w:val="30"/>
          <w:bdr w:val="none" w:color="auto" w:sz="0" w:space="0"/>
        </w:rPr>
        <w:br w:type="textWrapping"/>
      </w:r>
      <w:r>
        <w:rPr>
          <w:rFonts w:hint="eastAsia" w:ascii="仿宋_GB2312" w:hAnsi="仿宋_GB2312" w:eastAsia="仿宋_GB2312" w:cs="仿宋_GB2312"/>
          <w:i w:val="0"/>
          <w:caps w:val="0"/>
          <w:color w:val="333333"/>
          <w:spacing w:val="0"/>
          <w:sz w:val="30"/>
          <w:szCs w:val="30"/>
          <w:bdr w:val="none" w:color="auto" w:sz="0" w:space="0"/>
        </w:rPr>
        <w:t>    财政部 国家税务总局</w:t>
      </w:r>
      <w:r>
        <w:rPr>
          <w:rFonts w:hint="eastAsia" w:ascii="仿宋_GB2312" w:hAnsi="仿宋_GB2312" w:eastAsia="仿宋_GB2312" w:cs="仿宋_GB2312"/>
          <w:i w:val="0"/>
          <w:caps w:val="0"/>
          <w:color w:val="333333"/>
          <w:spacing w:val="0"/>
          <w:sz w:val="30"/>
          <w:szCs w:val="30"/>
          <w:bdr w:val="none" w:color="auto" w:sz="0" w:space="0"/>
        </w:rPr>
        <w:br w:type="textWrapping"/>
      </w:r>
      <w:r>
        <w:rPr>
          <w:rFonts w:hint="eastAsia" w:ascii="仿宋_GB2312" w:hAnsi="仿宋_GB2312" w:eastAsia="仿宋_GB2312" w:cs="仿宋_GB2312"/>
          <w:i w:val="0"/>
          <w:caps w:val="0"/>
          <w:color w:val="333333"/>
          <w:spacing w:val="0"/>
          <w:sz w:val="30"/>
          <w:szCs w:val="30"/>
          <w:bdr w:val="none" w:color="auto" w:sz="0" w:space="0"/>
        </w:rPr>
        <w:t>    二○一一年十二月三十日</w:t>
      </w:r>
    </w:p>
    <w:p>
      <w:pPr>
        <w:keepNext w:val="0"/>
        <w:keepLines w:val="0"/>
        <w:pageBreakBefore w:val="0"/>
        <w:kinsoku/>
        <w:wordWrap/>
        <w:overflowPunct/>
        <w:topLinePunct w:val="0"/>
        <w:autoSpaceDE/>
        <w:autoSpaceDN/>
        <w:bidi w:val="0"/>
        <w:adjustRightInd/>
        <w:snapToGrid/>
        <w:ind w:firstLine="600" w:firstLineChars="200"/>
        <w:textAlignment w:val="auto"/>
        <w:rPr>
          <w:rFonts w:hint="eastAsia" w:ascii="仿宋_GB2312" w:hAnsi="仿宋_GB2312" w:eastAsia="仿宋_GB2312" w:cs="仿宋_GB2312"/>
          <w:i w:val="0"/>
          <w:caps w:val="0"/>
          <w:color w:val="333333"/>
          <w:spacing w:val="0"/>
          <w:sz w:val="30"/>
          <w:szCs w:val="30"/>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810432"/>
    <w:rsid w:val="198104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Office_11.1.0.9145_F1E327BC-269C-435d-A152-05C5408002CA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2019-11-09T01:29:00Z</dcterms:created>
  <dc:creator>果凍爽</dc:creator>
  <cp:lastModifiedBy>果凍爽</cp:lastModifiedBy>
  <dcterms:modified xsi:type="dcterms:W3CDTF">2019-11-09T01:31:04Z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2052-11.1.0.9145</vt:lpwstr>
  </property>
</Properties>
</file>