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val="0"/>
          <w:color w:val="000000"/>
          <w:kern w:val="0"/>
          <w:sz w:val="44"/>
          <w:szCs w:val="44"/>
          <w:lang w:bidi="ar"/>
        </w:rPr>
      </w:pPr>
      <w:r>
        <w:rPr>
          <w:rFonts w:hint="eastAsia" w:ascii="楷体" w:hAnsi="楷体" w:eastAsia="楷体" w:cs="楷体"/>
          <w:b/>
          <w:bCs w:val="0"/>
          <w:color w:val="000000"/>
          <w:kern w:val="0"/>
          <w:sz w:val="44"/>
          <w:szCs w:val="44"/>
          <w:lang w:bidi="ar"/>
        </w:rPr>
        <w:t>业务操作指引（</w:t>
      </w:r>
      <w:r>
        <w:rPr>
          <w:rFonts w:hint="eastAsia" w:ascii="楷体" w:hAnsi="楷体" w:eastAsia="楷体" w:cs="楷体"/>
          <w:b/>
          <w:bCs w:val="0"/>
          <w:color w:val="000000"/>
          <w:kern w:val="0"/>
          <w:sz w:val="44"/>
          <w:szCs w:val="44"/>
          <w:lang w:eastAsia="zh-CN" w:bidi="ar"/>
        </w:rPr>
        <w:t>辽宁</w:t>
      </w:r>
      <w:r>
        <w:rPr>
          <w:rFonts w:hint="eastAsia" w:ascii="楷体" w:hAnsi="楷体" w:eastAsia="楷体" w:cs="楷体"/>
          <w:b/>
          <w:bCs w:val="0"/>
          <w:color w:val="000000"/>
          <w:kern w:val="0"/>
          <w:sz w:val="44"/>
          <w:szCs w:val="44"/>
          <w:lang w:bidi="ar"/>
        </w:rPr>
        <w:t>试点版)</w:t>
      </w:r>
    </w:p>
    <w:p>
      <w:pPr>
        <w:jc w:val="center"/>
        <w:rPr>
          <w:rFonts w:hint="eastAsia" w:ascii="楷体" w:hAnsi="楷体" w:eastAsia="楷体" w:cs="楷体"/>
          <w:b/>
          <w:bCs w:val="0"/>
          <w:color w:val="000000"/>
          <w:kern w:val="0"/>
          <w:sz w:val="44"/>
          <w:szCs w:val="44"/>
          <w:lang w:bidi="ar"/>
        </w:rPr>
      </w:pPr>
      <w:r>
        <w:rPr>
          <w:rFonts w:hint="eastAsia" w:ascii="楷体" w:hAnsi="楷体" w:eastAsia="楷体" w:cs="楷体"/>
          <w:b/>
          <w:bCs w:val="0"/>
          <w:color w:val="000000"/>
          <w:kern w:val="0"/>
          <w:sz w:val="44"/>
          <w:szCs w:val="44"/>
          <w:lang w:val="en-US" w:eastAsia="zh-CN" w:bidi="ar"/>
        </w:rPr>
        <w:t>20142</w:t>
      </w:r>
      <w:r>
        <w:rPr>
          <w:rFonts w:hint="eastAsia" w:ascii="楷体" w:hAnsi="楷体" w:eastAsia="楷体" w:cs="楷体"/>
          <w:b/>
          <w:bCs w:val="0"/>
          <w:color w:val="000000"/>
          <w:kern w:val="0"/>
          <w:sz w:val="44"/>
          <w:szCs w:val="44"/>
          <w:lang w:bidi="ar"/>
        </w:rPr>
        <w:t>重点税源补充信息采集纳税人端</w:t>
      </w:r>
    </w:p>
    <w:p>
      <w:pPr>
        <w:pStyle w:val="3"/>
        <w:numPr>
          <w:ilvl w:val="0"/>
          <w:numId w:val="0"/>
        </w:numPr>
        <w:ind w:firstLine="640" w:firstLineChars="200"/>
        <w:outlineLvl w:val="0"/>
        <w:rPr>
          <w:rFonts w:hint="eastAsia" w:ascii="黑体" w:hAnsi="黑体" w:eastAsia="黑体" w:cs="黑体"/>
          <w:b w:val="0"/>
          <w:bCs/>
          <w:sz w:val="32"/>
          <w:szCs w:val="32"/>
        </w:rPr>
      </w:pPr>
      <w:bookmarkStart w:id="0" w:name="_Toc21919"/>
      <w:bookmarkStart w:id="1" w:name="_Toc21020"/>
      <w:r>
        <w:rPr>
          <w:rFonts w:hint="eastAsia" w:ascii="黑体" w:hAnsi="黑体" w:eastAsia="黑体" w:cs="黑体"/>
          <w:b w:val="0"/>
          <w:bCs/>
          <w:sz w:val="32"/>
          <w:szCs w:val="32"/>
          <w:lang w:eastAsia="zh-CN"/>
        </w:rPr>
        <w:t>一、</w:t>
      </w:r>
      <w:r>
        <w:rPr>
          <w:rFonts w:hint="eastAsia" w:ascii="黑体" w:hAnsi="黑体" w:eastAsia="黑体" w:cs="黑体"/>
          <w:b w:val="0"/>
          <w:bCs/>
          <w:sz w:val="32"/>
          <w:szCs w:val="32"/>
        </w:rPr>
        <w:t>业务概述</w:t>
      </w:r>
      <w:bookmarkEnd w:id="0"/>
      <w:bookmarkEnd w:id="1"/>
      <w:r>
        <w:rPr>
          <w:rFonts w:hint="eastAsia" w:ascii="黑体" w:hAnsi="黑体" w:eastAsia="黑体" w:cs="黑体"/>
          <w:b w:val="0"/>
          <w:bCs/>
          <w:sz w:val="32"/>
          <w:szCs w:val="32"/>
        </w:rPr>
        <w:t xml:space="preserve"> </w:t>
      </w:r>
    </w:p>
    <w:p>
      <w:pPr>
        <w:pStyle w:val="2"/>
        <w:ind w:left="0" w:leftChars="0"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重点税源补充信息采集是指税务机关依据重点税源报表制度，在每月纳税申报期按照“数据+规则”启动补充信息采集任务，对已标识为重点税源补充信息采集的纳税人采集《重点税源企业基本信息表》、《重点税源企业税收信息补充采集表》、《重点税源企业税主要产品与税收信息（月报）表》，《重点税源企业财务信息补充采集表》和《重点税源企业景气调查问卷补充采集表》等涉税资料，涉税资料主要包括税源登记信息、申报征收信息、财务报表信息、企业景气调查问卷信息以及税务机关根据实际需要要求纳税人报送的其他涉税资料。为减轻纳税人填报负担，提升数据采集质量，登记信息、申报征收信息和财务报表信息等大部分采集信息由系统智能预填后在税务端展示，纳税人端仅展示需要纳税人补充采集的数据项，纳税人完成补充采集并审核通过后上报，已完成上报的数据将被锁定，不得修改。特殊情况需解锁重报的，需在上报期限内向税务机关申请解锁重报。</w:t>
      </w:r>
    </w:p>
    <w:p>
      <w:pPr>
        <w:pStyle w:val="2"/>
        <w:ind w:firstLine="48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政策依据：《中华人民共和国税收征收管理法》、《中华人民共和国税收征收管理法实施细则》等有关规定。</w:t>
      </w:r>
    </w:p>
    <w:p>
      <w:pPr>
        <w:topLinePunct/>
        <w:spacing w:line="360" w:lineRule="auto"/>
        <w:ind w:firstLine="640" w:firstLineChars="200"/>
        <w:rPr>
          <w:rFonts w:hint="eastAsia" w:ascii="华文仿宋" w:hAnsi="华文仿宋" w:eastAsia="华文仿宋" w:cs="华文仿宋"/>
          <w:sz w:val="32"/>
          <w:szCs w:val="32"/>
        </w:rPr>
      </w:pPr>
    </w:p>
    <w:p>
      <w:pPr>
        <w:pStyle w:val="3"/>
        <w:numPr>
          <w:ilvl w:val="0"/>
          <w:numId w:val="0"/>
        </w:numPr>
        <w:ind w:firstLine="640" w:firstLineChars="200"/>
        <w:outlineLvl w:val="0"/>
        <w:rPr>
          <w:rFonts w:hint="eastAsia" w:ascii="黑体" w:hAnsi="黑体" w:eastAsia="黑体" w:cs="黑体"/>
          <w:b w:val="0"/>
          <w:bCs/>
          <w:sz w:val="32"/>
          <w:szCs w:val="32"/>
        </w:rPr>
      </w:pPr>
      <w:r>
        <w:rPr>
          <w:rFonts w:hint="eastAsia" w:ascii="黑体" w:hAnsi="黑体" w:eastAsia="黑体" w:cs="黑体"/>
          <w:b w:val="0"/>
          <w:bCs/>
          <w:sz w:val="32"/>
          <w:szCs w:val="32"/>
          <w:lang w:eastAsia="zh-CN"/>
        </w:rPr>
        <w:t>二、</w:t>
      </w:r>
      <w:r>
        <w:rPr>
          <w:rFonts w:hint="eastAsia" w:ascii="黑体" w:hAnsi="黑体" w:eastAsia="黑体" w:cs="黑体"/>
          <w:b w:val="0"/>
          <w:bCs/>
          <w:sz w:val="32"/>
          <w:szCs w:val="32"/>
        </w:rPr>
        <w:t>办理流程</w:t>
      </w:r>
    </w:p>
    <w:p>
      <w:pPr>
        <w:pStyle w:val="2"/>
        <w:ind w:left="0" w:leftChars="0"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重点税源补充信息采集纳税人完成当期所有纳税申报事项、财务报表上报后，纳税人进入重点税源补充信息采集表后，</w:t>
      </w:r>
      <w:r>
        <w:rPr>
          <w:rFonts w:hint="eastAsia" w:ascii="仿宋_GB2312" w:hAnsi="仿宋_GB2312" w:eastAsia="仿宋_GB2312" w:cs="仿宋_GB2312"/>
          <w:color w:val="auto"/>
          <w:kern w:val="2"/>
          <w:sz w:val="32"/>
          <w:szCs w:val="32"/>
          <w:lang w:val="en-US" w:eastAsia="zh-CN" w:bidi="ar-SA"/>
        </w:rPr>
        <w:t>系统智能预填信息已隐藏不能修改，</w:t>
      </w:r>
      <w:r>
        <w:rPr>
          <w:rFonts w:hint="eastAsia" w:ascii="仿宋_GB2312" w:hAnsi="仿宋_GB2312" w:eastAsia="仿宋_GB2312" w:cs="仿宋_GB2312"/>
          <w:kern w:val="2"/>
          <w:sz w:val="32"/>
          <w:szCs w:val="32"/>
          <w:lang w:val="en-US" w:eastAsia="zh-CN" w:bidi="ar-SA"/>
        </w:rPr>
        <w:t>只能对未预填部分信息进行补充信息采集，完成补充采集后，在线审核上报。审核不通过的，根据审核提示修改数据或填写审核情况说明，再次审核通过后提交。已完成提交的数据将被锁定，不得修改。特殊情况需解锁重报的，需在上报期限内向税务机关申请解锁重报。</w:t>
      </w:r>
    </w:p>
    <w:p>
      <w:pPr>
        <w:pStyle w:val="3"/>
        <w:numPr>
          <w:ilvl w:val="0"/>
          <w:numId w:val="0"/>
        </w:numPr>
        <w:ind w:left="630" w:leftChars="0"/>
        <w:outlineLvl w:val="0"/>
        <w:rPr>
          <w:rFonts w:hint="eastAsia" w:ascii="黑体" w:hAnsi="黑体" w:eastAsia="黑体" w:cs="黑体"/>
          <w:b w:val="0"/>
          <w:bCs/>
          <w:sz w:val="32"/>
          <w:szCs w:val="32"/>
        </w:rPr>
      </w:pPr>
      <w:r>
        <w:rPr>
          <w:rFonts w:hint="eastAsia" w:ascii="黑体" w:hAnsi="黑体" w:cs="黑体"/>
          <w:b w:val="0"/>
          <w:bCs/>
          <w:sz w:val="32"/>
          <w:szCs w:val="32"/>
          <w:lang w:eastAsia="zh-CN"/>
        </w:rPr>
        <w:t>三、</w:t>
      </w:r>
      <w:r>
        <w:rPr>
          <w:rFonts w:hint="eastAsia" w:ascii="黑体" w:hAnsi="黑体" w:eastAsia="黑体" w:cs="黑体"/>
          <w:b w:val="0"/>
          <w:bCs/>
          <w:sz w:val="32"/>
          <w:szCs w:val="32"/>
        </w:rPr>
        <w:t>关联场景</w:t>
      </w:r>
    </w:p>
    <w:tbl>
      <w:tblPr>
        <w:tblStyle w:val="4"/>
        <w:tblW w:w="8802"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131"/>
        <w:gridCol w:w="1400"/>
        <w:gridCol w:w="1577"/>
        <w:gridCol w:w="469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1131" w:type="dxa"/>
            <w:shd w:val="clear" w:color="auto" w:fill="D7D7D7"/>
            <w:noWrap w:val="0"/>
            <w:vAlign w:val="center"/>
          </w:tcPr>
          <w:p>
            <w:pPr>
              <w:pStyle w:val="9"/>
              <w:keepNext w:val="0"/>
              <w:keepLines w:val="0"/>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场景编号</w:t>
            </w:r>
          </w:p>
        </w:tc>
        <w:tc>
          <w:tcPr>
            <w:tcW w:w="1400" w:type="dxa"/>
            <w:shd w:val="clear" w:color="auto" w:fill="D7D7D7"/>
            <w:noWrap w:val="0"/>
            <w:vAlign w:val="center"/>
          </w:tcPr>
          <w:p>
            <w:pPr>
              <w:pStyle w:val="9"/>
              <w:keepNext w:val="0"/>
              <w:keepLines w:val="0"/>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场景顺序</w:t>
            </w:r>
          </w:p>
        </w:tc>
        <w:tc>
          <w:tcPr>
            <w:tcW w:w="1577" w:type="dxa"/>
            <w:shd w:val="clear" w:color="auto" w:fill="D7D7D7"/>
            <w:noWrap w:val="0"/>
            <w:vAlign w:val="center"/>
          </w:tcPr>
          <w:p>
            <w:pPr>
              <w:pStyle w:val="9"/>
              <w:keepNext w:val="0"/>
              <w:keepLines w:val="0"/>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场景名称</w:t>
            </w:r>
          </w:p>
        </w:tc>
        <w:tc>
          <w:tcPr>
            <w:tcW w:w="4694" w:type="dxa"/>
            <w:shd w:val="clear" w:color="auto" w:fill="D7D7D7"/>
            <w:noWrap w:val="0"/>
            <w:vAlign w:val="center"/>
          </w:tcPr>
          <w:p>
            <w:pPr>
              <w:pStyle w:val="9"/>
              <w:keepNext w:val="0"/>
              <w:keepLines w:val="0"/>
              <w:suppressLineNumbers w:val="0"/>
              <w:spacing w:before="0" w:beforeAutospacing="0" w:after="0" w:afterAutospacing="0"/>
              <w:ind w:left="0" w:right="0"/>
              <w:rPr>
                <w:rFonts w:hint="eastAsia" w:ascii="宋体" w:hAnsi="宋体" w:eastAsia="宋体" w:cs="宋体"/>
                <w:b/>
                <w:bCs w:val="0"/>
                <w:kern w:val="2"/>
                <w:sz w:val="21"/>
                <w:szCs w:val="21"/>
              </w:rPr>
            </w:pPr>
            <w:r>
              <w:rPr>
                <w:rFonts w:hint="eastAsia" w:ascii="宋体" w:hAnsi="宋体" w:eastAsia="宋体" w:cs="宋体"/>
                <w:b/>
                <w:bCs w:val="0"/>
                <w:kern w:val="2"/>
                <w:sz w:val="21"/>
                <w:szCs w:val="21"/>
              </w:rPr>
              <w:t>关联关系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1131" w:type="dxa"/>
            <w:noWrap w:val="0"/>
            <w:vAlign w:val="center"/>
          </w:tcPr>
          <w:p>
            <w:pPr>
              <w:pStyle w:val="11"/>
              <w:keepNext w:val="0"/>
              <w:keepLines w:val="0"/>
              <w:widowControl/>
              <w:suppressLineNumbers w:val="0"/>
              <w:rPr>
                <w:rFonts w:hint="eastAsia" w:ascii="宋体" w:hAnsi="宋体" w:eastAsia="宋体" w:cs="宋体"/>
                <w:kern w:val="2"/>
                <w:sz w:val="21"/>
                <w:szCs w:val="21"/>
              </w:rPr>
            </w:pPr>
            <w:r>
              <w:rPr>
                <w:rFonts w:hint="eastAsia" w:ascii="宋体" w:hAnsi="宋体" w:eastAsia="宋体" w:cs="宋体"/>
                <w:kern w:val="2"/>
                <w:sz w:val="21"/>
                <w:szCs w:val="21"/>
              </w:rPr>
              <w:t>1</w:t>
            </w:r>
          </w:p>
        </w:tc>
        <w:tc>
          <w:tcPr>
            <w:tcW w:w="1400" w:type="dxa"/>
            <w:noWrap w:val="0"/>
            <w:vAlign w:val="center"/>
          </w:tcPr>
          <w:p>
            <w:pPr>
              <w:jc w:val="center"/>
              <w:rPr>
                <w:rFonts w:hint="eastAsia" w:ascii="宋体" w:hAnsi="宋体" w:eastAsia="宋体" w:cs="宋体"/>
                <w:kern w:val="2"/>
                <w:sz w:val="21"/>
                <w:szCs w:val="21"/>
              </w:rPr>
            </w:pPr>
            <w:r>
              <w:rPr>
                <w:rFonts w:hint="eastAsia" w:ascii="宋体" w:hAnsi="宋体" w:eastAsia="宋体" w:cs="宋体"/>
                <w:kern w:val="2"/>
                <w:sz w:val="21"/>
                <w:szCs w:val="21"/>
              </w:rPr>
              <w:t>前序场景</w:t>
            </w:r>
          </w:p>
        </w:tc>
        <w:tc>
          <w:tcPr>
            <w:tcW w:w="1577" w:type="dxa"/>
            <w:noWrap w:val="0"/>
            <w:vAlign w:val="center"/>
          </w:tcPr>
          <w:p>
            <w:pPr>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纳税申报</w:t>
            </w:r>
          </w:p>
        </w:tc>
        <w:tc>
          <w:tcPr>
            <w:tcW w:w="4694" w:type="dxa"/>
            <w:noWrap w:val="0"/>
            <w:vAlign w:val="center"/>
          </w:tcPr>
          <w:p>
            <w:pPr>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纳税人先报完其他申报表再采集</w:t>
            </w:r>
            <w:bookmarkStart w:id="2" w:name="_GoBack"/>
            <w:bookmarkEnd w:id="2"/>
            <w:r>
              <w:rPr>
                <w:rFonts w:hint="eastAsia" w:ascii="宋体" w:hAnsi="宋体" w:eastAsia="宋体" w:cs="宋体"/>
                <w:kern w:val="2"/>
                <w:sz w:val="21"/>
                <w:szCs w:val="21"/>
                <w:lang w:val="en-US" w:eastAsia="zh-CN" w:bidi="ar-SA"/>
              </w:rPr>
              <w:t>重点税源补充信息。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1131" w:type="dxa"/>
            <w:noWrap w:val="0"/>
            <w:vAlign w:val="center"/>
          </w:tcPr>
          <w:p>
            <w:pPr>
              <w:pStyle w:val="11"/>
              <w:keepNext w:val="0"/>
              <w:keepLines w:val="0"/>
              <w:widowControl/>
              <w:suppressLineNumbers w:val="0"/>
              <w:rPr>
                <w:rFonts w:hint="eastAsia" w:ascii="宋体" w:hAnsi="宋体" w:eastAsia="宋体" w:cs="宋体"/>
                <w:kern w:val="2"/>
                <w:sz w:val="21"/>
                <w:szCs w:val="21"/>
              </w:rPr>
            </w:pPr>
            <w:r>
              <w:rPr>
                <w:rFonts w:hint="eastAsia" w:ascii="宋体" w:hAnsi="宋体" w:eastAsia="宋体" w:cs="宋体"/>
                <w:kern w:val="2"/>
                <w:sz w:val="21"/>
                <w:szCs w:val="21"/>
              </w:rPr>
              <w:t>2</w:t>
            </w:r>
          </w:p>
        </w:tc>
        <w:tc>
          <w:tcPr>
            <w:tcW w:w="1400" w:type="dxa"/>
            <w:noWrap w:val="0"/>
            <w:vAlign w:val="center"/>
          </w:tcPr>
          <w:p>
            <w:pPr>
              <w:pStyle w:val="12"/>
              <w:jc w:val="center"/>
              <w:rPr>
                <w:rFonts w:hint="eastAsia" w:ascii="宋体" w:hAnsi="宋体" w:eastAsia="宋体" w:cs="宋体"/>
                <w:kern w:val="2"/>
                <w:sz w:val="21"/>
                <w:szCs w:val="21"/>
              </w:rPr>
            </w:pPr>
            <w:r>
              <w:rPr>
                <w:rFonts w:hint="eastAsia" w:ascii="宋体" w:hAnsi="宋体" w:eastAsia="宋体" w:cs="宋体"/>
                <w:kern w:val="2"/>
                <w:sz w:val="21"/>
                <w:szCs w:val="21"/>
              </w:rPr>
              <w:t>前序场景</w:t>
            </w:r>
          </w:p>
        </w:tc>
        <w:tc>
          <w:tcPr>
            <w:tcW w:w="1577" w:type="dxa"/>
            <w:noWrap w:val="0"/>
            <w:vAlign w:val="center"/>
          </w:tcPr>
          <w:p>
            <w:pPr>
              <w:pStyle w:val="11"/>
              <w:ind w:left="0" w:leftChars="0" w:right="0" w:rightChars="0" w:firstLine="0" w:firstLine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重点税源监控</w:t>
            </w:r>
          </w:p>
        </w:tc>
        <w:tc>
          <w:tcPr>
            <w:tcW w:w="4694" w:type="dxa"/>
            <w:noWrap w:val="0"/>
            <w:vAlign w:val="center"/>
          </w:tcPr>
          <w:p>
            <w:pPr>
              <w:pStyle w:val="11"/>
              <w:ind w:left="0" w:leftChars="0" w:right="0" w:rightChars="0" w:firstLine="0" w:firstLine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纳税人需为重点税源监控企业。非重点税源监控企业不可进入功能。</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c>
          <w:tcPr>
            <w:tcW w:w="1131" w:type="dxa"/>
            <w:noWrap w:val="0"/>
            <w:vAlign w:val="center"/>
          </w:tcPr>
          <w:p>
            <w:pPr>
              <w:pStyle w:val="11"/>
              <w:keepNext w:val="0"/>
              <w:keepLines w:val="0"/>
              <w:widowControl/>
              <w:suppressLineNumbers w:val="0"/>
              <w:rPr>
                <w:rFonts w:hint="eastAsia" w:ascii="宋体" w:hAnsi="宋体" w:eastAsia="宋体" w:cs="宋体"/>
                <w:kern w:val="2"/>
                <w:sz w:val="21"/>
                <w:szCs w:val="21"/>
              </w:rPr>
            </w:pPr>
            <w:r>
              <w:rPr>
                <w:rFonts w:hint="eastAsia" w:ascii="宋体" w:hAnsi="宋体" w:eastAsia="宋体" w:cs="宋体"/>
                <w:kern w:val="2"/>
                <w:sz w:val="21"/>
                <w:szCs w:val="21"/>
              </w:rPr>
              <w:t>3</w:t>
            </w:r>
          </w:p>
        </w:tc>
        <w:tc>
          <w:tcPr>
            <w:tcW w:w="1400" w:type="dxa"/>
            <w:noWrap w:val="0"/>
            <w:vAlign w:val="center"/>
          </w:tcPr>
          <w:p>
            <w:pPr>
              <w:pStyle w:val="12"/>
              <w:jc w:val="center"/>
              <w:rPr>
                <w:rFonts w:hint="eastAsia" w:ascii="宋体" w:hAnsi="宋体" w:eastAsia="宋体" w:cs="宋体"/>
                <w:kern w:val="2"/>
                <w:sz w:val="21"/>
                <w:szCs w:val="21"/>
              </w:rPr>
            </w:pPr>
            <w:r>
              <w:rPr>
                <w:rFonts w:hint="eastAsia" w:ascii="宋体" w:hAnsi="宋体" w:eastAsia="宋体" w:cs="宋体"/>
                <w:kern w:val="2"/>
                <w:sz w:val="21"/>
                <w:szCs w:val="21"/>
              </w:rPr>
              <w:t>前序场景</w:t>
            </w:r>
          </w:p>
        </w:tc>
        <w:tc>
          <w:tcPr>
            <w:tcW w:w="1577" w:type="dxa"/>
            <w:noWrap w:val="0"/>
            <w:vAlign w:val="center"/>
          </w:tcPr>
          <w:p>
            <w:pPr>
              <w:pStyle w:val="12"/>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重点税源认定</w:t>
            </w:r>
          </w:p>
        </w:tc>
        <w:tc>
          <w:tcPr>
            <w:tcW w:w="4694" w:type="dxa"/>
            <w:noWrap w:val="0"/>
            <w:vAlign w:val="center"/>
          </w:tcPr>
          <w:p>
            <w:pPr>
              <w:pStyle w:val="12"/>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税务人员需对纳税人做重点税源认定功能。</w:t>
            </w:r>
          </w:p>
        </w:tc>
      </w:tr>
    </w:tbl>
    <w:p>
      <w:pPr>
        <w:pStyle w:val="3"/>
        <w:numPr>
          <w:ilvl w:val="0"/>
          <w:numId w:val="0"/>
        </w:numPr>
        <w:ind w:firstLine="643" w:firstLineChars="200"/>
        <w:outlineLvl w:val="0"/>
        <w:rPr>
          <w:rFonts w:hint="eastAsia" w:ascii="仿宋_GB2312" w:hAnsi="仿宋_GB2312" w:eastAsia="仿宋_GB2312" w:cs="仿宋_GB2312"/>
          <w:b/>
          <w:sz w:val="32"/>
          <w:szCs w:val="32"/>
          <w:lang w:eastAsia="zh-CN"/>
        </w:rPr>
      </w:pPr>
    </w:p>
    <w:p>
      <w:pPr>
        <w:pStyle w:val="3"/>
        <w:numPr>
          <w:ilvl w:val="0"/>
          <w:numId w:val="0"/>
        </w:numPr>
        <w:ind w:firstLine="640" w:firstLineChars="200"/>
        <w:outlineLvl w:val="0"/>
        <w:rPr>
          <w:rFonts w:hint="eastAsia" w:ascii="黑体" w:hAnsi="黑体" w:eastAsia="黑体" w:cs="黑体"/>
          <w:b w:val="0"/>
          <w:bCs/>
          <w:sz w:val="32"/>
          <w:szCs w:val="32"/>
        </w:rPr>
      </w:pPr>
      <w:r>
        <w:rPr>
          <w:rFonts w:hint="eastAsia" w:ascii="黑体" w:hAnsi="黑体" w:eastAsia="黑体" w:cs="黑体"/>
          <w:b w:val="0"/>
          <w:bCs/>
          <w:sz w:val="32"/>
          <w:szCs w:val="32"/>
          <w:lang w:eastAsia="zh-CN"/>
        </w:rPr>
        <w:t>四、</w:t>
      </w:r>
      <w:r>
        <w:rPr>
          <w:rFonts w:hint="eastAsia" w:ascii="黑体" w:hAnsi="黑体" w:eastAsia="黑体" w:cs="黑体"/>
          <w:b w:val="0"/>
          <w:bCs/>
          <w:sz w:val="32"/>
          <w:szCs w:val="32"/>
        </w:rPr>
        <w:t>功能路径</w:t>
      </w:r>
    </w:p>
    <w:p>
      <w:pPr>
        <w:ind w:firstLine="640" w:firstLineChars="200"/>
        <w:rPr>
          <w:rFonts w:hint="eastAsia" w:ascii="仿宋_GB2312" w:hAnsi="仿宋_GB2312" w:eastAsia="仿宋_GB2312" w:cs="仿宋_GB2312"/>
          <w:bCs/>
          <w:sz w:val="32"/>
          <w:szCs w:val="32"/>
          <w:shd w:val="clear" w:color="auto" w:fill="FFFFFF"/>
        </w:rPr>
      </w:pPr>
      <w:r>
        <w:rPr>
          <w:rFonts w:hint="eastAsia" w:ascii="仿宋_GB2312" w:hAnsi="仿宋_GB2312" w:eastAsia="仿宋_GB2312" w:cs="仿宋_GB2312"/>
          <w:bCs/>
          <w:sz w:val="32"/>
          <w:szCs w:val="32"/>
        </w:rPr>
        <w:t>1.我要办税-税费申报及缴纳-</w:t>
      </w:r>
      <w:r>
        <w:rPr>
          <w:rFonts w:hint="eastAsia" w:ascii="仿宋_GB2312" w:hAnsi="仿宋_GB2312" w:eastAsia="仿宋_GB2312" w:cs="仿宋_GB2312"/>
          <w:sz w:val="32"/>
          <w:szCs w:val="32"/>
          <w:lang w:val="en-US" w:eastAsia="zh-CN"/>
        </w:rPr>
        <w:t>申报辅助信息报告-</w:t>
      </w:r>
      <w:r>
        <w:rPr>
          <w:rFonts w:hint="eastAsia" w:ascii="仿宋_GB2312" w:hAnsi="仿宋_GB2312" w:eastAsia="仿宋_GB2312" w:cs="仿宋_GB2312"/>
          <w:bCs/>
          <w:sz w:val="32"/>
          <w:szCs w:val="32"/>
          <w:shd w:val="clear" w:color="auto" w:fill="FFFFFF"/>
        </w:rPr>
        <w:t>重点税源补充信息采集</w:t>
      </w:r>
    </w:p>
    <w:p>
      <w:pPr>
        <w:ind w:firstLine="640" w:firstLineChars="200"/>
        <w:rPr>
          <w:rFonts w:hint="eastAsia" w:ascii="仿宋_GB2312" w:hAnsi="仿宋_GB2312" w:eastAsia="仿宋_GB2312" w:cs="仿宋_GB2312"/>
          <w:bCs/>
          <w:sz w:val="32"/>
          <w:szCs w:val="32"/>
          <w:shd w:val="clear" w:color="auto" w:fill="FFFFFF"/>
        </w:rPr>
      </w:pPr>
      <w:r>
        <w:rPr>
          <w:rFonts w:hint="eastAsia" w:ascii="仿宋_GB2312" w:hAnsi="仿宋_GB2312" w:eastAsia="仿宋_GB2312" w:cs="仿宋_GB2312"/>
          <w:bCs/>
          <w:sz w:val="32"/>
          <w:szCs w:val="32"/>
          <w:shd w:val="clear" w:color="auto" w:fill="FFFFFF"/>
        </w:rPr>
        <w:t>2.本期应申报提醒进入办税功能。</w:t>
      </w:r>
    </w:p>
    <w:p>
      <w:pPr>
        <w:ind w:firstLine="640" w:firstLineChars="200"/>
        <w:rPr>
          <w:rFonts w:hint="eastAsia" w:ascii="仿宋_GB2312" w:hAnsi="仿宋_GB2312" w:eastAsia="仿宋_GB2312" w:cs="仿宋_GB2312"/>
          <w:bCs/>
          <w:sz w:val="32"/>
          <w:szCs w:val="32"/>
          <w:shd w:val="clear" w:color="auto" w:fill="FFFFFF"/>
        </w:rPr>
      </w:pPr>
      <w:r>
        <w:rPr>
          <w:rFonts w:hint="eastAsia" w:ascii="仿宋_GB2312" w:hAnsi="仿宋_GB2312" w:eastAsia="仿宋_GB2312" w:cs="仿宋_GB2312"/>
          <w:bCs/>
          <w:sz w:val="32"/>
          <w:szCs w:val="32"/>
          <w:shd w:val="clear" w:color="auto" w:fill="FFFFFF"/>
        </w:rPr>
        <w:t>3.通过首页搜索栏输入关键字查找出的“重点税源补充信息采集”进入办税功能。</w:t>
      </w:r>
    </w:p>
    <w:p>
      <w:pPr>
        <w:pStyle w:val="3"/>
        <w:numPr>
          <w:ilvl w:val="0"/>
          <w:numId w:val="0"/>
        </w:numPr>
        <w:ind w:firstLine="640" w:firstLineChars="200"/>
        <w:outlineLvl w:val="0"/>
        <w:rPr>
          <w:rFonts w:hint="eastAsia" w:ascii="黑体" w:hAnsi="黑体" w:eastAsia="黑体" w:cs="黑体"/>
          <w:b w:val="0"/>
          <w:bCs/>
          <w:sz w:val="32"/>
          <w:szCs w:val="32"/>
          <w:lang w:eastAsia="zh-Hans"/>
        </w:rPr>
      </w:pPr>
      <w:r>
        <w:rPr>
          <w:rFonts w:hint="eastAsia" w:ascii="黑体" w:hAnsi="黑体" w:cs="黑体"/>
          <w:b w:val="0"/>
          <w:bCs/>
          <w:sz w:val="32"/>
          <w:szCs w:val="32"/>
          <w:lang w:eastAsia="zh-CN"/>
        </w:rPr>
        <w:t>五</w:t>
      </w:r>
      <w:r>
        <w:rPr>
          <w:rFonts w:hint="eastAsia" w:ascii="黑体" w:hAnsi="黑体" w:eastAsia="黑体" w:cs="黑体"/>
          <w:b w:val="0"/>
          <w:bCs/>
          <w:sz w:val="32"/>
          <w:szCs w:val="32"/>
          <w:lang w:eastAsia="zh-CN"/>
        </w:rPr>
        <w:t>、</w:t>
      </w:r>
      <w:r>
        <w:rPr>
          <w:rFonts w:hint="eastAsia" w:ascii="黑体" w:hAnsi="黑体" w:eastAsia="黑体" w:cs="黑体"/>
          <w:b w:val="0"/>
          <w:bCs/>
          <w:sz w:val="32"/>
          <w:szCs w:val="32"/>
          <w:lang w:eastAsia="zh-Hans"/>
        </w:rPr>
        <w:t>操作步骤</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登录新电子</w:t>
      </w:r>
      <w:r>
        <w:rPr>
          <w:rFonts w:hint="eastAsia" w:ascii="仿宋_GB2312" w:hAnsi="仿宋_GB2312" w:eastAsia="仿宋_GB2312" w:cs="仿宋_GB2312"/>
          <w:sz w:val="32"/>
          <w:szCs w:val="32"/>
          <w:lang w:val="en-US" w:eastAsia="zh-CN"/>
        </w:rPr>
        <w:t>税务</w:t>
      </w:r>
      <w:r>
        <w:rPr>
          <w:rFonts w:hint="eastAsia" w:ascii="仿宋_GB2312" w:hAnsi="仿宋_GB2312" w:eastAsia="仿宋_GB2312" w:cs="仿宋_GB2312"/>
          <w:sz w:val="32"/>
          <w:szCs w:val="32"/>
        </w:rPr>
        <w:t>局后，点击【我要办税】-【税费申报及缴纳】-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申报辅助信息报告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【重点税源补充信息采集】功能菜单。</w:t>
      </w:r>
      <w:r>
        <w:rPr>
          <w:rFonts w:hint="eastAsia" w:ascii="仿宋_GB2312" w:hAnsi="仿宋_GB2312" w:eastAsia="仿宋_GB2312" w:cs="仿宋_GB2312"/>
          <w:b/>
          <w:bCs/>
          <w:color w:val="FF0000"/>
          <w:sz w:val="32"/>
          <w:szCs w:val="32"/>
          <w:lang w:eastAsia="zh-CN"/>
        </w:rPr>
        <w:t>建议使用火狐浏览器、谷歌浏览器填报。</w:t>
      </w:r>
    </w:p>
    <w:p>
      <w:pPr>
        <w:pStyle w:val="2"/>
        <w:ind w:left="0" w:leftChars="0" w:firstLine="0" w:firstLineChars="0"/>
        <w:rPr>
          <w:rFonts w:hint="eastAsia" w:eastAsia="宋体"/>
          <w:lang w:eastAsia="zh-CN"/>
        </w:rPr>
      </w:pPr>
      <w:r>
        <w:rPr>
          <w:rFonts w:hint="eastAsia" w:eastAsia="宋体"/>
          <w:lang w:eastAsia="zh-CN"/>
        </w:rPr>
        <w:drawing>
          <wp:inline distT="0" distB="0" distL="114300" distR="114300">
            <wp:extent cx="5270500" cy="2538730"/>
            <wp:effectExtent l="0" t="0" r="6350" b="13970"/>
            <wp:docPr id="18" name="图片 1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1"/>
                    <pic:cNvPicPr>
                      <a:picLocks noChangeAspect="1"/>
                    </pic:cNvPicPr>
                  </pic:nvPicPr>
                  <pic:blipFill>
                    <a:blip r:embed="rId6"/>
                    <a:stretch>
                      <a:fillRect/>
                    </a:stretch>
                  </pic:blipFill>
                  <pic:spPr>
                    <a:xfrm>
                      <a:off x="0" y="0"/>
                      <a:ext cx="5270500" cy="253873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lang w:val="en-US" w:eastAsia="zh-CN"/>
        </w:rPr>
      </w:pPr>
      <w:r>
        <w:rPr>
          <w:rFonts w:hint="eastAsia" w:ascii="Times New Roman" w:hAnsi="Times New Roman" w:eastAsia="仿宋_GB2312"/>
          <w:sz w:val="32"/>
          <w:szCs w:val="32"/>
          <w:lang w:val="en-US" w:eastAsia="zh-CN"/>
        </w:rPr>
        <w:t>2.点击采集，进入到报表填写界面。</w:t>
      </w:r>
    </w:p>
    <w:p>
      <w:pPr>
        <w:pStyle w:val="2"/>
        <w:keepNext w:val="0"/>
        <w:keepLines w:val="0"/>
        <w:pageBreakBefore w:val="0"/>
        <w:widowControl/>
        <w:kinsoku/>
        <w:wordWrap/>
        <w:overflowPunct/>
        <w:topLinePunct w:val="0"/>
        <w:autoSpaceDE/>
        <w:autoSpaceDN/>
        <w:bidi w:val="0"/>
        <w:adjustRightInd w:val="0"/>
        <w:snapToGrid w:val="0"/>
        <w:spacing w:line="240" w:lineRule="auto"/>
        <w:ind w:left="0" w:leftChars="0" w:firstLine="0" w:firstLineChars="0"/>
        <w:jc w:val="left"/>
        <w:textAlignment w:val="auto"/>
        <w:rPr>
          <w:rFonts w:hint="eastAsia"/>
          <w:lang w:val="en-US" w:eastAsia="zh-CN"/>
        </w:rPr>
      </w:pPr>
      <w:r>
        <w:rPr>
          <w:rFonts w:hint="eastAsia"/>
          <w:lang w:val="en-US" w:eastAsia="zh-CN"/>
        </w:rPr>
        <w:drawing>
          <wp:inline distT="0" distB="0" distL="114300" distR="114300">
            <wp:extent cx="5269230" cy="2553970"/>
            <wp:effectExtent l="0" t="0" r="7620" b="17780"/>
            <wp:docPr id="19" name="图片 1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2"/>
                    <pic:cNvPicPr>
                      <a:picLocks noChangeAspect="1"/>
                    </pic:cNvPicPr>
                  </pic:nvPicPr>
                  <pic:blipFill>
                    <a:blip r:embed="rId7"/>
                    <a:stretch>
                      <a:fillRect/>
                    </a:stretch>
                  </pic:blipFill>
                  <pic:spPr>
                    <a:xfrm>
                      <a:off x="0" y="0"/>
                      <a:ext cx="5269230" cy="2553970"/>
                    </a:xfrm>
                    <a:prstGeom prst="rect">
                      <a:avLst/>
                    </a:prstGeom>
                  </pic:spPr>
                </pic:pic>
              </a:graphicData>
            </a:graphic>
          </wp:inline>
        </w:drawing>
      </w:r>
    </w:p>
    <w:p>
      <w:pPr>
        <w:pStyle w:val="2"/>
        <w:keepNext w:val="0"/>
        <w:keepLines w:val="0"/>
        <w:pageBreakBefore w:val="0"/>
        <w:widowControl/>
        <w:kinsoku/>
        <w:wordWrap/>
        <w:overflowPunct/>
        <w:topLinePunct w:val="0"/>
        <w:autoSpaceDE/>
        <w:autoSpaceDN/>
        <w:bidi w:val="0"/>
        <w:adjustRightInd w:val="0"/>
        <w:snapToGrid w:val="0"/>
        <w:spacing w:line="360" w:lineRule="auto"/>
        <w:ind w:left="0" w:leftChars="0" w:firstLine="640"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Cs/>
          <w:sz w:val="32"/>
          <w:szCs w:val="32"/>
          <w:shd w:val="clear" w:color="auto" w:fill="FFFFFF"/>
          <w:lang w:val="en-US" w:eastAsia="zh-CN" w:bidi="ar-SA"/>
        </w:rPr>
        <w:t>系统对数据进行预填写，税费申报数据指标不展示，纳税人需按照实际情况进行修改和补录数据。共四张表分别是基本信息表（19个指标）、税收信息表（34个指标）、产品表、景气表、财务信息（季报3、6、9、12月）表。</w:t>
      </w:r>
    </w:p>
    <w:p>
      <w:pPr>
        <w:keepNext w:val="0"/>
        <w:keepLines w:val="0"/>
        <w:widowControl/>
        <w:suppressLineNumbers w:val="0"/>
        <w:jc w:val="left"/>
        <w:rPr>
          <w:rFonts w:hint="eastAsia" w:eastAsia="微软雅黑"/>
          <w:lang w:eastAsia="zh-CN"/>
        </w:rPr>
      </w:pPr>
      <w:r>
        <w:rPr>
          <w:rFonts w:hint="eastAsia" w:eastAsia="微软雅黑"/>
          <w:lang w:eastAsia="zh-CN"/>
        </w:rPr>
        <w:drawing>
          <wp:inline distT="0" distB="0" distL="114300" distR="114300">
            <wp:extent cx="5269230" cy="2534285"/>
            <wp:effectExtent l="0" t="0" r="7620" b="18415"/>
            <wp:docPr id="21" name="图片 21" descr="3基本信息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3基本信息表"/>
                    <pic:cNvPicPr>
                      <a:picLocks noChangeAspect="1"/>
                    </pic:cNvPicPr>
                  </pic:nvPicPr>
                  <pic:blipFill>
                    <a:blip r:embed="rId8"/>
                    <a:stretch>
                      <a:fillRect/>
                    </a:stretch>
                  </pic:blipFill>
                  <pic:spPr>
                    <a:xfrm>
                      <a:off x="0" y="0"/>
                      <a:ext cx="5269230" cy="2534285"/>
                    </a:xfrm>
                    <a:prstGeom prst="rect">
                      <a:avLst/>
                    </a:prstGeom>
                  </pic:spPr>
                </pic:pic>
              </a:graphicData>
            </a:graphic>
          </wp:inline>
        </w:drawing>
      </w:r>
    </w:p>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69230" cy="2534285"/>
            <wp:effectExtent l="0" t="0" r="7620" b="18415"/>
            <wp:docPr id="22" name="图片 22" descr="4企业信息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4企业信息表"/>
                    <pic:cNvPicPr>
                      <a:picLocks noChangeAspect="1"/>
                    </pic:cNvPicPr>
                  </pic:nvPicPr>
                  <pic:blipFill>
                    <a:blip r:embed="rId9"/>
                    <a:stretch>
                      <a:fillRect/>
                    </a:stretch>
                  </pic:blipFill>
                  <pic:spPr>
                    <a:xfrm>
                      <a:off x="0" y="0"/>
                      <a:ext cx="5269230" cy="2534285"/>
                    </a:xfrm>
                    <a:prstGeom prst="rect">
                      <a:avLst/>
                    </a:prstGeom>
                  </pic:spPr>
                </pic:pic>
              </a:graphicData>
            </a:graphic>
          </wp:inline>
        </w:drawing>
      </w:r>
    </w:p>
    <w:p>
      <w:pPr>
        <w:rPr>
          <w:rFonts w:hint="eastAsia" w:eastAsia="微软雅黑"/>
          <w:lang w:eastAsia="zh-CN"/>
        </w:rPr>
      </w:pPr>
      <w:r>
        <w:rPr>
          <w:rFonts w:hint="eastAsia" w:eastAsia="微软雅黑"/>
          <w:lang w:eastAsia="zh-CN"/>
        </w:rPr>
        <w:drawing>
          <wp:inline distT="0" distB="0" distL="114300" distR="114300">
            <wp:extent cx="5269230" cy="2534285"/>
            <wp:effectExtent l="0" t="0" r="7620" b="18415"/>
            <wp:docPr id="23" name="图片 23" descr="5产品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5产品表"/>
                    <pic:cNvPicPr>
                      <a:picLocks noChangeAspect="1"/>
                    </pic:cNvPicPr>
                  </pic:nvPicPr>
                  <pic:blipFill>
                    <a:blip r:embed="rId10"/>
                    <a:stretch>
                      <a:fillRect/>
                    </a:stretch>
                  </pic:blipFill>
                  <pic:spPr>
                    <a:xfrm>
                      <a:off x="0" y="0"/>
                      <a:ext cx="5269230" cy="2534285"/>
                    </a:xfrm>
                    <a:prstGeom prst="rect">
                      <a:avLst/>
                    </a:prstGeom>
                  </pic:spPr>
                </pic:pic>
              </a:graphicData>
            </a:graphic>
          </wp:inline>
        </w:drawing>
      </w:r>
    </w:p>
    <w:p>
      <w:pPr>
        <w:pStyle w:val="2"/>
        <w:ind w:left="0" w:leftChars="0" w:firstLine="0" w:firstLineChars="0"/>
        <w:rPr>
          <w:rFonts w:hint="eastAsia"/>
          <w:lang w:eastAsia="zh-CN"/>
        </w:rPr>
      </w:pPr>
      <w:r>
        <w:rPr>
          <w:rFonts w:hint="eastAsia"/>
          <w:lang w:eastAsia="zh-CN"/>
        </w:rPr>
        <w:drawing>
          <wp:inline distT="0" distB="0" distL="114300" distR="114300">
            <wp:extent cx="5269230" cy="2534285"/>
            <wp:effectExtent l="0" t="0" r="7620" b="18415"/>
            <wp:docPr id="24" name="图片 24" descr="6景气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6景气表"/>
                    <pic:cNvPicPr>
                      <a:picLocks noChangeAspect="1"/>
                    </pic:cNvPicPr>
                  </pic:nvPicPr>
                  <pic:blipFill>
                    <a:blip r:embed="rId11"/>
                    <a:stretch>
                      <a:fillRect/>
                    </a:stretch>
                  </pic:blipFill>
                  <pic:spPr>
                    <a:xfrm>
                      <a:off x="0" y="0"/>
                      <a:ext cx="5269230" cy="2534285"/>
                    </a:xfrm>
                    <a:prstGeom prst="rect">
                      <a:avLst/>
                    </a:prstGeom>
                  </pic:spPr>
                </pic:pic>
              </a:graphicData>
            </a:graphic>
          </wp:inline>
        </w:drawing>
      </w:r>
    </w:p>
    <w:p>
      <w:pPr>
        <w:pStyle w:val="2"/>
        <w:ind w:left="0" w:leftChars="0" w:firstLine="0" w:firstLineChars="0"/>
        <w:rPr>
          <w:rFonts w:hint="eastAsia"/>
          <w:lang w:eastAsia="zh-CN"/>
        </w:rPr>
      </w:pPr>
      <w:r>
        <w:rPr>
          <w:rFonts w:hint="eastAsia"/>
          <w:lang w:eastAsia="zh-CN"/>
        </w:rPr>
        <w:drawing>
          <wp:inline distT="0" distB="0" distL="114300" distR="114300">
            <wp:extent cx="5269230" cy="2534285"/>
            <wp:effectExtent l="0" t="0" r="7620" b="18415"/>
            <wp:docPr id="25" name="图片 25" descr="7财务信息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7财务信息表"/>
                    <pic:cNvPicPr>
                      <a:picLocks noChangeAspect="1"/>
                    </pic:cNvPicPr>
                  </pic:nvPicPr>
                  <pic:blipFill>
                    <a:blip r:embed="rId12"/>
                    <a:stretch>
                      <a:fillRect/>
                    </a:stretch>
                  </pic:blipFill>
                  <pic:spPr>
                    <a:xfrm>
                      <a:off x="0" y="0"/>
                      <a:ext cx="5269230" cy="2534285"/>
                    </a:xfrm>
                    <a:prstGeom prst="rect">
                      <a:avLst/>
                    </a:prstGeom>
                  </pic:spPr>
                </pic:pic>
              </a:graphicData>
            </a:graphic>
          </wp:inline>
        </w:drawing>
      </w:r>
    </w:p>
    <w:p>
      <w:pPr>
        <w:pStyle w:val="2"/>
        <w:ind w:left="0" w:leftChars="0" w:firstLine="0" w:firstLineChars="0"/>
        <w:rPr>
          <w:rFonts w:hint="eastAsia"/>
          <w:lang w:eastAsia="zh-CN"/>
        </w:rPr>
      </w:pPr>
      <w:r>
        <w:rPr>
          <w:rFonts w:hint="eastAsia"/>
          <w:lang w:eastAsia="zh-CN"/>
        </w:rPr>
        <w:drawing>
          <wp:inline distT="0" distB="0" distL="114300" distR="114300">
            <wp:extent cx="5269230" cy="2534285"/>
            <wp:effectExtent l="0" t="0" r="7620" b="18415"/>
            <wp:docPr id="26" name="图片 26" descr="8指标口径说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8指标口径说明"/>
                    <pic:cNvPicPr>
                      <a:picLocks noChangeAspect="1"/>
                    </pic:cNvPicPr>
                  </pic:nvPicPr>
                  <pic:blipFill>
                    <a:blip r:embed="rId13"/>
                    <a:stretch>
                      <a:fillRect/>
                    </a:stretch>
                  </pic:blipFill>
                  <pic:spPr>
                    <a:xfrm>
                      <a:off x="0" y="0"/>
                      <a:ext cx="5269230" cy="253428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3.纳税人填报完各表后，点【审核】，审核通过的，点【提交】，采集流程结束；审核不通过的，按照审核提示继续补充数据、修改数据或填写审核情况说明，再次点击审核，直到提示“审核通过”。</w:t>
      </w:r>
    </w:p>
    <w:p>
      <w:pPr>
        <w:rPr>
          <w:rFonts w:hint="eastAsia" w:ascii="仿宋_GB2312" w:hAnsi="仿宋_GB2312" w:eastAsia="仿宋_GB2312" w:cs="仿宋_GB2312"/>
          <w:color w:val="FF0000"/>
          <w:sz w:val="32"/>
          <w:szCs w:val="32"/>
          <w:lang w:eastAsia="zh-CN"/>
        </w:rPr>
      </w:pPr>
      <w:r>
        <w:rPr>
          <w:rFonts w:hint="eastAsia" w:ascii="仿宋_GB2312" w:hAnsi="仿宋_GB2312" w:eastAsia="仿宋_GB2312" w:cs="仿宋_GB2312"/>
          <w:color w:val="FF0000"/>
          <w:sz w:val="32"/>
          <w:szCs w:val="32"/>
          <w:lang w:eastAsia="zh-CN"/>
        </w:rPr>
        <w:drawing>
          <wp:inline distT="0" distB="0" distL="114300" distR="114300">
            <wp:extent cx="5269230" cy="2534285"/>
            <wp:effectExtent l="0" t="0" r="7620" b="18415"/>
            <wp:docPr id="27" name="图片 27" descr="10审核提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10审核提示"/>
                    <pic:cNvPicPr>
                      <a:picLocks noChangeAspect="1"/>
                    </pic:cNvPicPr>
                  </pic:nvPicPr>
                  <pic:blipFill>
                    <a:blip r:embed="rId14"/>
                    <a:stretch>
                      <a:fillRect/>
                    </a:stretch>
                  </pic:blipFill>
                  <pic:spPr>
                    <a:xfrm>
                      <a:off x="0" y="0"/>
                      <a:ext cx="5269230" cy="2534285"/>
                    </a:xfrm>
                    <a:prstGeom prst="rect">
                      <a:avLst/>
                    </a:prstGeom>
                  </pic:spPr>
                </pic:pic>
              </a:graphicData>
            </a:graphic>
          </wp:inline>
        </w:drawing>
      </w:r>
    </w:p>
    <w:p>
      <w:pPr>
        <w:rPr>
          <w:rFonts w:hint="eastAsia" w:ascii="仿宋_GB2312" w:hAnsi="仿宋_GB2312" w:eastAsia="仿宋_GB2312" w:cs="仿宋_GB2312"/>
          <w:color w:val="FF0000"/>
          <w:sz w:val="32"/>
          <w:szCs w:val="32"/>
          <w:lang w:eastAsia="zh-CN"/>
        </w:rPr>
      </w:pPr>
      <w:r>
        <w:rPr>
          <w:rFonts w:hint="eastAsia" w:ascii="仿宋_GB2312" w:hAnsi="仿宋_GB2312" w:eastAsia="仿宋_GB2312" w:cs="仿宋_GB2312"/>
          <w:color w:val="FF0000"/>
          <w:sz w:val="32"/>
          <w:szCs w:val="32"/>
          <w:lang w:eastAsia="zh-CN"/>
        </w:rPr>
        <w:drawing>
          <wp:inline distT="0" distB="0" distL="114300" distR="114300">
            <wp:extent cx="5269230" cy="2534285"/>
            <wp:effectExtent l="0" t="0" r="7620" b="18415"/>
            <wp:docPr id="28" name="图片 28" descr="11审核说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11审核说明"/>
                    <pic:cNvPicPr>
                      <a:picLocks noChangeAspect="1"/>
                    </pic:cNvPicPr>
                  </pic:nvPicPr>
                  <pic:blipFill>
                    <a:blip r:embed="rId15"/>
                    <a:stretch>
                      <a:fillRect/>
                    </a:stretch>
                  </pic:blipFill>
                  <pic:spPr>
                    <a:xfrm>
                      <a:off x="0" y="0"/>
                      <a:ext cx="5269230" cy="2534285"/>
                    </a:xfrm>
                    <a:prstGeom prst="rect">
                      <a:avLst/>
                    </a:prstGeom>
                  </pic:spPr>
                </pic:pic>
              </a:graphicData>
            </a:graphic>
          </wp:inline>
        </w:drawing>
      </w:r>
    </w:p>
    <w:p>
      <w:pPr>
        <w:pStyle w:val="2"/>
        <w:ind w:left="0" w:leftChars="0" w:firstLine="0" w:firstLineChars="0"/>
        <w:rPr>
          <w:rFonts w:hint="eastAsia"/>
          <w:lang w:eastAsia="zh-CN"/>
        </w:rPr>
      </w:pPr>
      <w:r>
        <w:rPr>
          <w:rFonts w:hint="eastAsia"/>
          <w:lang w:eastAsia="zh-CN"/>
        </w:rPr>
        <w:drawing>
          <wp:inline distT="0" distB="0" distL="114300" distR="114300">
            <wp:extent cx="5269230" cy="2534285"/>
            <wp:effectExtent l="0" t="0" r="7620" b="18415"/>
            <wp:docPr id="29" name="图片 29" descr="12审核通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12审核通过"/>
                    <pic:cNvPicPr>
                      <a:picLocks noChangeAspect="1"/>
                    </pic:cNvPicPr>
                  </pic:nvPicPr>
                  <pic:blipFill>
                    <a:blip r:embed="rId16"/>
                    <a:stretch>
                      <a:fillRect/>
                    </a:stretch>
                  </pic:blipFill>
                  <pic:spPr>
                    <a:xfrm>
                      <a:off x="0" y="0"/>
                      <a:ext cx="5269230" cy="253428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4.审核通过后，需要纳税人对本次采集结果进行确认声明，纳税人按提示补全声明信息后，点击【确认】即可提交申请。</w:t>
      </w:r>
    </w:p>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269230" cy="2534285"/>
            <wp:effectExtent l="0" t="0" r="7620" b="18415"/>
            <wp:docPr id="30" name="图片 30" descr="13真是责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13真是责任"/>
                    <pic:cNvPicPr>
                      <a:picLocks noChangeAspect="1"/>
                    </pic:cNvPicPr>
                  </pic:nvPicPr>
                  <pic:blipFill>
                    <a:blip r:embed="rId17"/>
                    <a:stretch>
                      <a:fillRect/>
                    </a:stretch>
                  </pic:blipFill>
                  <pic:spPr>
                    <a:xfrm>
                      <a:off x="0" y="0"/>
                      <a:ext cx="5269230" cy="253428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5.提交成功后，完成本次重点税源补充信息采集。</w:t>
      </w:r>
    </w:p>
    <w:p>
      <w:pPr>
        <w:jc w:val="center"/>
        <w:rPr>
          <w:rFonts w:ascii="仿宋_GB2312" w:hAnsi="仿宋_GB2312" w:eastAsia="仿宋_GB2312" w:cs="仿宋_GB2312"/>
          <w:sz w:val="32"/>
          <w:szCs w:val="32"/>
        </w:rPr>
      </w:pPr>
      <w:r>
        <w:rPr>
          <w:rFonts w:ascii="仿宋_GB2312" w:hAnsi="仿宋_GB2312" w:eastAsia="仿宋_GB2312" w:cs="仿宋_GB2312"/>
          <w:sz w:val="32"/>
          <w:szCs w:val="32"/>
        </w:rPr>
        <w:drawing>
          <wp:inline distT="0" distB="0" distL="114300" distR="114300">
            <wp:extent cx="5279390" cy="2564130"/>
            <wp:effectExtent l="0" t="0" r="16510" b="7620"/>
            <wp:docPr id="1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9"/>
                    <pic:cNvPicPr>
                      <a:picLocks noChangeAspect="1"/>
                    </pic:cNvPicPr>
                  </pic:nvPicPr>
                  <pic:blipFill>
                    <a:blip r:embed="rId18"/>
                    <a:stretch>
                      <a:fillRect/>
                    </a:stretch>
                  </pic:blipFill>
                  <pic:spPr>
                    <a:xfrm>
                      <a:off x="0" y="0"/>
                      <a:ext cx="5279390" cy="2564130"/>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6.提交成功后，可以进入填报界面，查看报送情况和审核情况，点击预览，可以导出填报数据。</w:t>
      </w:r>
    </w:p>
    <w:p>
      <w:pPr>
        <w:pStyle w:val="2"/>
        <w:numPr>
          <w:ilvl w:val="0"/>
          <w:numId w:val="0"/>
        </w:numPr>
        <w:rPr>
          <w:rFonts w:hint="eastAsia"/>
          <w:lang w:val="en-US" w:eastAsia="zh-CN"/>
        </w:rPr>
      </w:pPr>
      <w:r>
        <w:rPr>
          <w:rFonts w:hint="eastAsia"/>
          <w:lang w:val="en-US" w:eastAsia="zh-CN"/>
        </w:rPr>
        <w:drawing>
          <wp:inline distT="0" distB="0" distL="114300" distR="114300">
            <wp:extent cx="5269230" cy="2534285"/>
            <wp:effectExtent l="0" t="0" r="7620" b="18415"/>
            <wp:docPr id="31" name="图片 31" descr="预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预览"/>
                    <pic:cNvPicPr>
                      <a:picLocks noChangeAspect="1"/>
                    </pic:cNvPicPr>
                  </pic:nvPicPr>
                  <pic:blipFill>
                    <a:blip r:embed="rId19"/>
                    <a:stretch>
                      <a:fillRect/>
                    </a:stretch>
                  </pic:blipFill>
                  <pic:spPr>
                    <a:xfrm>
                      <a:off x="0" y="0"/>
                      <a:ext cx="5269230" cy="2534285"/>
                    </a:xfrm>
                    <a:prstGeom prst="rect">
                      <a:avLst/>
                    </a:prstGeom>
                  </pic:spPr>
                </pic:pic>
              </a:graphicData>
            </a:graphic>
          </wp:inline>
        </w:drawing>
      </w:r>
    </w:p>
    <w:p>
      <w:pPr>
        <w:pStyle w:val="2"/>
        <w:numPr>
          <w:ilvl w:val="0"/>
          <w:numId w:val="0"/>
        </w:numPr>
        <w:rPr>
          <w:rFonts w:hint="eastAsia"/>
          <w:lang w:val="en-US" w:eastAsia="zh-CN"/>
        </w:rPr>
      </w:pPr>
    </w:p>
    <w:p>
      <w:pPr>
        <w:pStyle w:val="3"/>
        <w:numPr>
          <w:ilvl w:val="0"/>
          <w:numId w:val="0"/>
        </w:numPr>
        <w:ind w:left="630" w:leftChars="0"/>
        <w:outlineLvl w:val="0"/>
        <w:rPr>
          <w:rFonts w:hint="eastAsia" w:ascii="黑体" w:hAnsi="黑体" w:eastAsia="黑体" w:cs="黑体"/>
          <w:b w:val="0"/>
          <w:bCs/>
          <w:sz w:val="32"/>
          <w:szCs w:val="32"/>
        </w:rPr>
      </w:pPr>
      <w:r>
        <w:rPr>
          <w:rFonts w:hint="eastAsia" w:ascii="黑体" w:hAnsi="黑体" w:eastAsia="黑体" w:cs="黑体"/>
          <w:b w:val="0"/>
          <w:bCs/>
          <w:sz w:val="32"/>
          <w:szCs w:val="32"/>
          <w:lang w:eastAsia="zh-CN"/>
        </w:rPr>
        <w:t>六、</w:t>
      </w:r>
      <w:r>
        <w:rPr>
          <w:rFonts w:hint="eastAsia" w:ascii="黑体" w:hAnsi="黑体" w:eastAsia="黑体" w:cs="黑体"/>
          <w:b w:val="0"/>
          <w:bCs/>
          <w:sz w:val="32"/>
          <w:szCs w:val="32"/>
        </w:rPr>
        <w:t>报送资料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华文仿宋" w:hAnsi="华文仿宋" w:eastAsia="华文仿宋" w:cs="华文仿宋"/>
          <w:sz w:val="32"/>
          <w:szCs w:val="32"/>
        </w:rPr>
      </w:pPr>
      <w:r>
        <w:rPr>
          <w:rFonts w:hint="eastAsia" w:ascii="华文仿宋" w:hAnsi="华文仿宋" w:eastAsia="华文仿宋" w:cs="华文仿宋"/>
          <w:sz w:val="32"/>
          <w:szCs w:val="32"/>
        </w:rPr>
        <w:t>无</w:t>
      </w:r>
    </w:p>
    <w:p>
      <w:pPr>
        <w:pStyle w:val="3"/>
        <w:numPr>
          <w:ilvl w:val="0"/>
          <w:numId w:val="0"/>
        </w:numPr>
        <w:ind w:firstLine="640" w:firstLineChars="200"/>
        <w:outlineLvl w:val="0"/>
        <w:rPr>
          <w:rFonts w:hint="eastAsia" w:ascii="黑体" w:hAnsi="黑体" w:eastAsia="黑体" w:cs="黑体"/>
          <w:b w:val="0"/>
          <w:bCs/>
          <w:sz w:val="32"/>
          <w:szCs w:val="32"/>
          <w:lang w:eastAsia="zh-Hans"/>
        </w:rPr>
      </w:pPr>
      <w:r>
        <w:rPr>
          <w:rFonts w:hint="eastAsia" w:ascii="黑体" w:hAnsi="黑体" w:eastAsia="黑体" w:cs="黑体"/>
          <w:b w:val="0"/>
          <w:bCs/>
          <w:sz w:val="32"/>
          <w:szCs w:val="32"/>
          <w:lang w:eastAsia="zh-CN"/>
        </w:rPr>
        <w:t>七、</w:t>
      </w:r>
      <w:r>
        <w:rPr>
          <w:rFonts w:hint="eastAsia" w:ascii="黑体" w:hAnsi="黑体" w:eastAsia="黑体" w:cs="黑体"/>
          <w:b w:val="0"/>
          <w:bCs/>
          <w:sz w:val="32"/>
          <w:szCs w:val="32"/>
          <w:lang w:eastAsia="zh-Hans"/>
        </w:rPr>
        <w:t>注意事项</w:t>
      </w:r>
    </w:p>
    <w:p>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640" w:firstLineChars="200"/>
        <w:textAlignment w:val="auto"/>
        <w:rPr>
          <w:rFonts w:hint="eastAsia" w:ascii="仿宋_GB2312" w:hAnsi="仿宋_GB2312" w:eastAsia="仿宋_GB2312" w:cs="仿宋_GB2312"/>
          <w:b/>
          <w:bCs/>
          <w:color w:val="FF0000"/>
          <w:kern w:val="0"/>
          <w:sz w:val="32"/>
          <w:szCs w:val="32"/>
          <w:lang w:val="en-US" w:eastAsia="zh-CN" w:bidi="ar-SA"/>
        </w:rPr>
      </w:pPr>
      <w:r>
        <w:rPr>
          <w:rFonts w:hint="eastAsia" w:ascii="仿宋_GB2312" w:hAnsi="仿宋_GB2312" w:eastAsia="仿宋_GB2312" w:cs="仿宋_GB2312"/>
          <w:kern w:val="0"/>
          <w:sz w:val="32"/>
          <w:szCs w:val="32"/>
          <w:lang w:val="en-US" w:eastAsia="zh-CN" w:bidi="ar-SA"/>
        </w:rPr>
        <w:t>为减轻纳税人填报负担，大部分数据项需从申报表和财务报表取数后智能预填，部分还存在自填数据与预填数据的交叉审核，因此建议纳税人先</w:t>
      </w:r>
      <w:r>
        <w:rPr>
          <w:rFonts w:hint="eastAsia" w:ascii="仿宋_GB2312" w:hAnsi="仿宋_GB2312" w:eastAsia="仿宋_GB2312" w:cs="仿宋_GB2312"/>
          <w:b/>
          <w:bCs/>
          <w:color w:val="FF0000"/>
          <w:kern w:val="0"/>
          <w:sz w:val="32"/>
          <w:szCs w:val="32"/>
          <w:lang w:val="en-US" w:eastAsia="zh-CN" w:bidi="ar-SA"/>
        </w:rPr>
        <w:t>完成各税种的纳税申报和财务报表上报后再进入重点税源补充信息采集模块进行补充填报，以免造成数据漏报和审核不通过。</w:t>
      </w:r>
    </w:p>
    <w:p>
      <w:pPr>
        <w:pStyle w:val="3"/>
        <w:numPr>
          <w:ilvl w:val="0"/>
          <w:numId w:val="0"/>
        </w:numPr>
        <w:ind w:firstLine="640" w:firstLineChars="200"/>
        <w:outlineLvl w:val="0"/>
        <w:rPr>
          <w:rFonts w:hint="eastAsia" w:ascii="黑体" w:hAnsi="黑体" w:eastAsia="黑体" w:cs="黑体"/>
          <w:b w:val="0"/>
          <w:bCs/>
          <w:sz w:val="32"/>
          <w:szCs w:val="32"/>
        </w:rPr>
      </w:pPr>
      <w:r>
        <w:rPr>
          <w:rFonts w:hint="eastAsia" w:ascii="黑体" w:hAnsi="黑体" w:eastAsia="黑体" w:cs="黑体"/>
          <w:b w:val="0"/>
          <w:bCs/>
          <w:sz w:val="32"/>
          <w:szCs w:val="32"/>
          <w:lang w:eastAsia="zh-CN"/>
        </w:rPr>
        <w:t>八、</w:t>
      </w:r>
      <w:r>
        <w:rPr>
          <w:rFonts w:hint="eastAsia" w:ascii="黑体" w:hAnsi="黑体" w:eastAsia="黑体" w:cs="黑体"/>
          <w:b w:val="0"/>
          <w:bCs/>
          <w:sz w:val="32"/>
          <w:szCs w:val="32"/>
        </w:rPr>
        <w:t>常见问题</w:t>
      </w:r>
    </w:p>
    <w:p>
      <w:pPr>
        <w:keepNext w:val="0"/>
        <w:keepLines w:val="0"/>
        <w:pageBreakBefore w:val="0"/>
        <w:widowControl w:val="0"/>
        <w:kinsoku/>
        <w:wordWrap/>
        <w:overflowPunct/>
        <w:topLinePunct w:val="0"/>
        <w:autoSpaceDE/>
        <w:autoSpaceDN/>
        <w:bidi w:val="0"/>
        <w:adjustRightInd/>
        <w:snapToGrid/>
        <w:spacing w:after="0"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重点税源</w:t>
      </w:r>
      <w:r>
        <w:rPr>
          <w:rFonts w:hint="eastAsia" w:ascii="仿宋_GB2312" w:hAnsi="仿宋_GB2312" w:eastAsia="仿宋_GB2312" w:cs="仿宋_GB2312"/>
          <w:sz w:val="32"/>
          <w:szCs w:val="32"/>
          <w:lang w:val="en-US" w:eastAsia="zh-CN"/>
        </w:rPr>
        <w:t>补充信息</w:t>
      </w:r>
      <w:r>
        <w:rPr>
          <w:rFonts w:hint="eastAsia" w:ascii="仿宋_GB2312" w:hAnsi="仿宋_GB2312" w:eastAsia="仿宋_GB2312" w:cs="仿宋_GB2312"/>
          <w:sz w:val="32"/>
          <w:szCs w:val="32"/>
        </w:rPr>
        <w:t>采集为按月采集还是按季采集？</w:t>
      </w:r>
    </w:p>
    <w:p>
      <w:pPr>
        <w:keepNext w:val="0"/>
        <w:keepLines w:val="0"/>
        <w:pageBreakBefore w:val="0"/>
        <w:widowControl w:val="0"/>
        <w:kinsoku/>
        <w:wordWrap/>
        <w:overflowPunct/>
        <w:topLinePunct w:val="0"/>
        <w:autoSpaceDE/>
        <w:autoSpaceDN/>
        <w:bidi w:val="0"/>
        <w:adjustRightInd/>
        <w:snapToGrid/>
        <w:spacing w:after="0" w:line="360"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答：按月采集</w:t>
      </w:r>
      <w:r>
        <w:rPr>
          <w:rFonts w:hint="eastAsia" w:ascii="仿宋_GB2312" w:hAnsi="仿宋_GB2312" w:eastAsia="仿宋_GB2312" w:cs="仿宋_GB2312"/>
          <w:sz w:val="32"/>
          <w:szCs w:val="32"/>
          <w:lang w:eastAsia="zh-CN"/>
        </w:rPr>
        <w:t>，部分报表按季填报。</w:t>
      </w:r>
    </w:p>
    <w:p>
      <w:pPr>
        <w:keepNext w:val="0"/>
        <w:keepLines w:val="0"/>
        <w:pageBreakBefore w:val="0"/>
        <w:widowControl w:val="0"/>
        <w:kinsoku/>
        <w:wordWrap/>
        <w:overflowPunct/>
        <w:topLinePunct w:val="0"/>
        <w:autoSpaceDE/>
        <w:autoSpaceDN/>
        <w:bidi w:val="0"/>
        <w:adjustRightInd/>
        <w:snapToGrid/>
        <w:spacing w:after="0"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2.提交后，发现填报错误，需要更正如何处理？</w:t>
      </w:r>
    </w:p>
    <w:p>
      <w:pPr>
        <w:keepNext w:val="0"/>
        <w:keepLines w:val="0"/>
        <w:pageBreakBefore w:val="0"/>
        <w:widowControl w:val="0"/>
        <w:kinsoku/>
        <w:wordWrap/>
        <w:overflowPunct/>
        <w:topLinePunct w:val="0"/>
        <w:autoSpaceDE/>
        <w:autoSpaceDN/>
        <w:bidi w:val="0"/>
        <w:adjustRightInd/>
        <w:snapToGrid/>
        <w:spacing w:after="0" w:line="36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答：已提交的记录，会自动锁定无法修改，如需修改，可联系税务人员解锁后，方可进行更正操作。</w:t>
      </w:r>
    </w:p>
    <w:p>
      <w:pPr>
        <w:pStyle w:val="2"/>
        <w:keepNext w:val="0"/>
        <w:keepLines w:val="0"/>
        <w:pageBreakBefore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b/>
          <w:bCs/>
          <w:color w:val="FF0000"/>
          <w:sz w:val="32"/>
          <w:szCs w:val="32"/>
          <w:lang w:val="en-US" w:eastAsia="zh-CN"/>
        </w:rPr>
      </w:pPr>
      <w:r>
        <w:rPr>
          <w:rFonts w:hint="eastAsia" w:ascii="仿宋_GB2312" w:hAnsi="仿宋_GB2312" w:eastAsia="仿宋_GB2312" w:cs="仿宋_GB2312"/>
          <w:sz w:val="32"/>
          <w:szCs w:val="32"/>
          <w:lang w:val="en-US" w:eastAsia="zh-CN"/>
        </w:rPr>
        <w:t>3.税收信息表</w:t>
      </w:r>
      <w:r>
        <w:rPr>
          <w:rFonts w:hint="eastAsia" w:ascii="仿宋_GB2312" w:hAnsi="仿宋_GB2312" w:eastAsia="仿宋_GB2312" w:cs="仿宋_GB2312"/>
          <w:b/>
          <w:bCs/>
          <w:color w:val="FF0000"/>
          <w:sz w:val="32"/>
          <w:szCs w:val="32"/>
          <w:lang w:val="en-US" w:eastAsia="zh-CN"/>
        </w:rPr>
        <w:t>181行-187行系统默认取的截止上个月属期的数据，请企业核实修改。比如填属期10月报表，系统带出的就是1-9月的数据。</w:t>
      </w:r>
    </w:p>
    <w:p>
      <w:pPr>
        <w:pStyle w:val="2"/>
        <w:spacing w:line="360" w:lineRule="auto"/>
        <w:ind w:left="0" w:leftChars="0" w:firstLine="0" w:firstLineChars="0"/>
        <w:rPr>
          <w:rFonts w:hint="eastAsia" w:eastAsia="宋体"/>
          <w:lang w:eastAsia="zh-CN"/>
        </w:rPr>
      </w:pPr>
      <w:r>
        <w:rPr>
          <w:rFonts w:hint="eastAsia" w:eastAsia="宋体"/>
          <w:lang w:eastAsia="zh-CN"/>
        </w:rPr>
        <w:drawing>
          <wp:inline distT="0" distB="0" distL="114300" distR="114300">
            <wp:extent cx="5269230" cy="2314575"/>
            <wp:effectExtent l="0" t="0" r="7620" b="9525"/>
            <wp:docPr id="1" name="图片 1" descr="14信181-188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4信181-188行"/>
                    <pic:cNvPicPr>
                      <a:picLocks noChangeAspect="1"/>
                    </pic:cNvPicPr>
                  </pic:nvPicPr>
                  <pic:blipFill>
                    <a:blip r:embed="rId20"/>
                    <a:stretch>
                      <a:fillRect/>
                    </a:stretch>
                  </pic:blipFill>
                  <pic:spPr>
                    <a:xfrm>
                      <a:off x="0" y="0"/>
                      <a:ext cx="5269230" cy="2314575"/>
                    </a:xfrm>
                    <a:prstGeom prst="rect">
                      <a:avLst/>
                    </a:prstGeom>
                  </pic:spPr>
                </pic:pic>
              </a:graphicData>
            </a:graphic>
          </wp:inline>
        </w:drawing>
      </w:r>
    </w:p>
    <w:p>
      <w:pPr>
        <w:pStyle w:val="2"/>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4.税收信息表已缴纳的各类社会保障性基金（147-152行）系统自动预填的企业向税务申报实际缴纳的社保费，用人单位缴纳的，不包括代扣职工个人部分，公积金需要手动填写。</w:t>
      </w:r>
      <w:r>
        <w:rPr>
          <w:rFonts w:hint="eastAsia" w:ascii="仿宋_GB2312" w:hAnsi="仿宋_GB2312" w:eastAsia="仿宋_GB2312" w:cs="仿宋_GB2312"/>
          <w:b/>
          <w:bCs/>
          <w:color w:val="FF0000"/>
          <w:sz w:val="32"/>
          <w:szCs w:val="32"/>
          <w:lang w:val="en-US" w:eastAsia="zh-CN"/>
        </w:rPr>
        <w:t>注：以上行累计栏计算有误，暂不管他，只需本期栏（D列）和同期本期栏（F列）填正确即可。</w:t>
      </w:r>
    </w:p>
    <w:p>
      <w:pPr>
        <w:pStyle w:val="2"/>
        <w:numPr>
          <w:ilvl w:val="0"/>
          <w:numId w:val="0"/>
        </w:numPr>
        <w:spacing w:line="360" w:lineRule="auto"/>
        <w:rPr>
          <w:rFonts w:hint="default" w:ascii="华文仿宋" w:hAnsi="华文仿宋" w:eastAsia="华文仿宋" w:cs="华文仿宋"/>
          <w:sz w:val="32"/>
          <w:szCs w:val="32"/>
          <w:lang w:val="en-US" w:eastAsia="zh-CN"/>
        </w:rPr>
      </w:pPr>
      <w:r>
        <w:rPr>
          <w:rFonts w:hint="default" w:ascii="华文仿宋" w:hAnsi="华文仿宋" w:eastAsia="华文仿宋" w:cs="华文仿宋"/>
          <w:sz w:val="32"/>
          <w:szCs w:val="32"/>
          <w:lang w:val="en-US" w:eastAsia="zh-CN"/>
        </w:rPr>
        <w:drawing>
          <wp:inline distT="0" distB="0" distL="114300" distR="114300">
            <wp:extent cx="5269230" cy="2314575"/>
            <wp:effectExtent l="0" t="0" r="7620" b="9525"/>
            <wp:docPr id="2" name="图片 2" descr="15社保数据累计有问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5社保数据累计有问题"/>
                    <pic:cNvPicPr>
                      <a:picLocks noChangeAspect="1"/>
                    </pic:cNvPicPr>
                  </pic:nvPicPr>
                  <pic:blipFill>
                    <a:blip r:embed="rId21"/>
                    <a:stretch>
                      <a:fillRect/>
                    </a:stretch>
                  </pic:blipFill>
                  <pic:spPr>
                    <a:xfrm>
                      <a:off x="0" y="0"/>
                      <a:ext cx="5269230" cy="2314575"/>
                    </a:xfrm>
                    <a:prstGeom prst="rect">
                      <a:avLst/>
                    </a:prstGeom>
                  </pic:spPr>
                </pic:pic>
              </a:graphicData>
            </a:graphic>
          </wp:inline>
        </w:drawing>
      </w:r>
    </w:p>
    <w:p>
      <w:pPr>
        <w:pStyle w:val="2"/>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5.税收信息表代扣代缴个人所得税额（165行-179行）暂不能实现自动取数，需要手动填写。如累计数据有误，请确保本期栏本期数正确。</w:t>
      </w:r>
    </w:p>
    <w:sectPr>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Songti SC">
    <w:altName w:val="宋体"/>
    <w:panose1 w:val="00000000000000000000"/>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8B7726"/>
    <w:rsid w:val="00D31D50"/>
    <w:rsid w:val="01324045"/>
    <w:rsid w:val="06430AD4"/>
    <w:rsid w:val="0C865749"/>
    <w:rsid w:val="0DD111E0"/>
    <w:rsid w:val="20B92466"/>
    <w:rsid w:val="26B37C1B"/>
    <w:rsid w:val="2BBF31FC"/>
    <w:rsid w:val="2FF87182"/>
    <w:rsid w:val="38C57E36"/>
    <w:rsid w:val="3BA503FB"/>
    <w:rsid w:val="3C1D5DE6"/>
    <w:rsid w:val="3EF515C8"/>
    <w:rsid w:val="43E63BD8"/>
    <w:rsid w:val="481B320D"/>
    <w:rsid w:val="48D0723B"/>
    <w:rsid w:val="4BD80E32"/>
    <w:rsid w:val="50B946E5"/>
    <w:rsid w:val="525E2765"/>
    <w:rsid w:val="5B092077"/>
    <w:rsid w:val="5C4E3C36"/>
    <w:rsid w:val="601573A8"/>
    <w:rsid w:val="65F246B2"/>
    <w:rsid w:val="671A13B4"/>
    <w:rsid w:val="69D52902"/>
    <w:rsid w:val="70204F62"/>
    <w:rsid w:val="7B0D2250"/>
    <w:rsid w:val="7B926C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3">
    <w:name w:val="heading 2"/>
    <w:basedOn w:val="1"/>
    <w:next w:val="1"/>
    <w:qFormat/>
    <w:uiPriority w:val="0"/>
    <w:pPr>
      <w:keepNext/>
      <w:keepLines/>
      <w:spacing w:beforeLines="0" w:beforeAutospacing="0" w:afterLines="0" w:afterAutospacing="0" w:line="240" w:lineRule="auto"/>
      <w:outlineLvl w:val="1"/>
    </w:pPr>
    <w:rPr>
      <w:rFonts w:ascii="Arial" w:hAnsi="Arial" w:eastAsia="黑体"/>
      <w:b/>
      <w:sz w:val="28"/>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customStyle="1" w:styleId="2">
    <w:name w:val="Normal Indent1"/>
    <w:qFormat/>
    <w:uiPriority w:val="0"/>
    <w:pPr>
      <w:spacing w:line="360" w:lineRule="auto"/>
      <w:ind w:firstLine="883" w:firstLineChars="200"/>
    </w:pPr>
    <w:rPr>
      <w:rFonts w:ascii="Songti SC" w:hAnsi="Songti SC" w:eastAsia="宋体" w:cs="Songti SC"/>
      <w:sz w:val="24"/>
      <w:szCs w:val="24"/>
      <w:lang w:val="en-US" w:eastAsia="zh-CN" w:bidi="ar-SA"/>
    </w:rPr>
  </w:style>
  <w:style w:type="paragraph" w:customStyle="1" w:styleId="6">
    <w:name w:val="表格标题栏"/>
    <w:qFormat/>
    <w:uiPriority w:val="0"/>
    <w:pPr>
      <w:jc w:val="center"/>
    </w:pPr>
    <w:rPr>
      <w:rFonts w:ascii="Times New Roman" w:hAnsi="Times New Roman" w:eastAsia="宋体" w:cs="宋体"/>
      <w:b/>
      <w:bCs/>
      <w:kern w:val="2"/>
      <w:sz w:val="21"/>
      <w:lang w:val="en-US" w:eastAsia="zh-CN" w:bidi="ar-SA"/>
    </w:rPr>
  </w:style>
  <w:style w:type="paragraph" w:customStyle="1" w:styleId="7">
    <w:name w:val="表格正文-中间对齐"/>
    <w:qFormat/>
    <w:uiPriority w:val="0"/>
    <w:pPr>
      <w:jc w:val="center"/>
    </w:pPr>
    <w:rPr>
      <w:rFonts w:ascii="Times New Roman" w:hAnsi="Times New Roman" w:eastAsia="宋体" w:cs="宋体"/>
      <w:kern w:val="2"/>
      <w:sz w:val="21"/>
      <w:lang w:val="en-US" w:eastAsia="zh-CN" w:bidi="ar-SA"/>
    </w:rPr>
  </w:style>
  <w:style w:type="paragraph" w:customStyle="1" w:styleId="8">
    <w:name w:val="表格正文-左对齐"/>
    <w:qFormat/>
    <w:uiPriority w:val="0"/>
    <w:rPr>
      <w:rFonts w:ascii="Times New Roman" w:hAnsi="Times New Roman" w:eastAsia="宋体" w:cs="宋体"/>
      <w:kern w:val="2"/>
      <w:sz w:val="21"/>
      <w:lang w:val="en-US" w:eastAsia="zh-CN" w:bidi="ar-SA"/>
    </w:rPr>
  </w:style>
  <w:style w:type="paragraph" w:customStyle="1" w:styleId="9">
    <w:name w:val="表格列标题"/>
    <w:basedOn w:val="10"/>
    <w:qFormat/>
    <w:uiPriority w:val="0"/>
    <w:pPr>
      <w:jc w:val="center"/>
    </w:pPr>
    <w:rPr>
      <w:rFonts w:ascii="Arial" w:hAnsi="Arial" w:cs="Arial"/>
      <w:b/>
      <w:sz w:val="18"/>
    </w:rPr>
  </w:style>
  <w:style w:type="paragraph" w:customStyle="1" w:styleId="10">
    <w:name w:val="正文1"/>
    <w:qFormat/>
    <w:uiPriority w:val="0"/>
    <w:pPr>
      <w:widowControl w:val="0"/>
      <w:jc w:val="both"/>
    </w:pPr>
    <w:rPr>
      <w:rFonts w:ascii="Calibri" w:hAnsi="Calibri" w:eastAsia="宋体" w:cs="Times New Roman"/>
      <w:lang w:val="en-US" w:eastAsia="zh-CN" w:bidi="ar-SA"/>
    </w:rPr>
  </w:style>
  <w:style w:type="paragraph" w:customStyle="1" w:styleId="11">
    <w:name w:val="表格文字 居中"/>
    <w:basedOn w:val="7"/>
    <w:qFormat/>
    <w:uiPriority w:val="0"/>
    <w:pPr>
      <w:jc w:val="center"/>
    </w:pPr>
    <w:rPr>
      <w:rFonts w:ascii="Arial" w:hAnsi="Arial" w:cs="Arial"/>
      <w:sz w:val="18"/>
    </w:rPr>
  </w:style>
  <w:style w:type="paragraph" w:customStyle="1" w:styleId="12">
    <w:name w:val="表格文字 左对齐"/>
    <w:basedOn w:val="13"/>
    <w:qFormat/>
    <w:uiPriority w:val="0"/>
    <w:rPr>
      <w:rFonts w:ascii="Arial" w:hAnsi="Arial" w:cs="Arial"/>
      <w:sz w:val="18"/>
    </w:rPr>
  </w:style>
  <w:style w:type="paragraph" w:customStyle="1" w:styleId="13">
    <w:name w:val="正文_1"/>
    <w:qFormat/>
    <w:uiPriority w:val="0"/>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1</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Administrator.USER-20240228TY</dc:creator>
  <cp:lastModifiedBy>Administrator</cp:lastModifiedBy>
  <dcterms:modified xsi:type="dcterms:W3CDTF">2025-05-13T02:30:47Z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