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lang w:val="en-US" w:eastAsia="zh-CN"/>
        </w:rPr>
      </w:pPr>
      <w:r>
        <w:rPr>
          <w:rFonts w:hint="eastAsia" w:ascii="楷体" w:hAnsi="楷体" w:eastAsia="楷体" w:cs="楷体"/>
          <w:b/>
          <w:kern w:val="0"/>
          <w:sz w:val="44"/>
          <w:szCs w:val="44"/>
          <w:lang w:bidi="ar"/>
        </w:rPr>
        <w:t>业务操作指引</w:t>
      </w:r>
      <w:r>
        <w:rPr>
          <w:rFonts w:hint="eastAsia" w:ascii="楷体" w:hAnsi="楷体" w:eastAsia="楷体" w:cs="楷体"/>
          <w:b/>
          <w:kern w:val="0"/>
          <w:sz w:val="44"/>
          <w:szCs w:val="44"/>
          <w:lang w:eastAsia="zh-CN" w:bidi="ar"/>
        </w:rPr>
        <w:t>（</w:t>
      </w:r>
      <w:r>
        <w:rPr>
          <w:rFonts w:hint="eastAsia" w:ascii="楷体" w:hAnsi="楷体" w:eastAsia="楷体" w:cs="楷体"/>
          <w:b/>
          <w:kern w:val="0"/>
          <w:sz w:val="44"/>
          <w:szCs w:val="44"/>
          <w:lang w:val="en-US" w:eastAsia="zh-CN" w:bidi="ar"/>
        </w:rPr>
        <w:t>辽宁试点版）</w:t>
      </w:r>
      <w:bookmarkStart w:id="0" w:name="_GoBack"/>
      <w:bookmarkEnd w:id="0"/>
    </w:p>
    <w:p>
      <w:pPr>
        <w:rPr>
          <w:rFonts w:hint="eastAsia" w:ascii="楷体" w:hAnsi="楷体" w:eastAsia="楷体" w:cs="楷体"/>
          <w:b/>
          <w:kern w:val="0"/>
          <w:sz w:val="44"/>
          <w:szCs w:val="44"/>
          <w:lang w:bidi="ar"/>
        </w:rPr>
      </w:pPr>
      <w:r>
        <w:rPr>
          <w:rFonts w:hint="eastAsia" w:ascii="楷体" w:hAnsi="楷体" w:eastAsia="楷体" w:cs="楷体"/>
          <w:b/>
          <w:kern w:val="0"/>
          <w:sz w:val="44"/>
          <w:szCs w:val="44"/>
          <w:lang w:bidi="ar"/>
        </w:rPr>
        <w:t>20091特别纳税调查自行调整（缴纳）</w:t>
      </w:r>
    </w:p>
    <w:p>
      <w:pPr>
        <w:pStyle w:val="3"/>
        <w:ind w:firstLine="643" w:firstLineChars="200"/>
        <w:rPr>
          <w:rFonts w:hint="eastAsia"/>
          <w:sz w:val="32"/>
          <w:szCs w:val="32"/>
        </w:rPr>
      </w:pPr>
      <w:r>
        <w:rPr>
          <w:rFonts w:hint="eastAsia"/>
          <w:sz w:val="32"/>
          <w:szCs w:val="32"/>
        </w:rPr>
        <w:t xml:space="preserve">一、业务概述 </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税务机关通过关联申报审核、同期资料管理和利润水平监控等手段，对企业实施特别纳税调整监控管理，发现企业存在特别纳税调整风险的，可以向企业送达税务事项通知书，提示其存在的税收风险。</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企业收到特别纳税调整风险提示或者发现自身存在特别纳税调整风险的，可以自行调整补税并填报《特别纳税调整自行缴纳税款表》。</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经调查，税务机关发现企业存在特别纳税调整问题的，企业可以在收到《特别纳税调查调整通知书》前自行缴纳税款。企业自行缴纳税款的，应当填报《特别纳税调整自行缴纳税款表》。</w:t>
      </w:r>
    </w:p>
    <w:p>
      <w:pPr>
        <w:pStyle w:val="3"/>
        <w:numPr>
          <w:ilvl w:val="0"/>
          <w:numId w:val="1"/>
        </w:numPr>
        <w:ind w:firstLine="643" w:firstLineChars="200"/>
        <w:rPr>
          <w:rFonts w:hint="eastAsia"/>
          <w:sz w:val="32"/>
          <w:szCs w:val="32"/>
        </w:rPr>
      </w:pPr>
      <w:r>
        <w:rPr>
          <w:rFonts w:hint="eastAsia"/>
          <w:sz w:val="32"/>
          <w:szCs w:val="32"/>
        </w:rPr>
        <w:t>办理流程</w:t>
      </w:r>
    </w:p>
    <w:p>
      <w:pPr>
        <w:ind w:firstLine="640" w:firstLineChars="200"/>
        <w:rPr>
          <w:rFonts w:hint="default" w:ascii="华文仿宋" w:hAnsi="华文仿宋" w:eastAsia="华文仿宋" w:cs="华文仿宋"/>
          <w:bCs/>
          <w:sz w:val="32"/>
          <w:szCs w:val="32"/>
          <w:highlight w:val="none"/>
          <w:lang w:val="en-US" w:eastAsia="zh-CN"/>
        </w:rPr>
      </w:pPr>
      <w:r>
        <w:rPr>
          <w:rFonts w:hint="eastAsia" w:ascii="华文仿宋" w:hAnsi="华文仿宋" w:eastAsia="华文仿宋" w:cs="华文仿宋"/>
          <w:bCs/>
          <w:sz w:val="32"/>
          <w:szCs w:val="32"/>
          <w:highlight w:val="none"/>
          <w:lang w:eastAsia="zh-CN"/>
        </w:rPr>
        <w:t>即时办结</w:t>
      </w:r>
      <w:r>
        <w:rPr>
          <w:rFonts w:hint="eastAsia" w:ascii="华文仿宋" w:hAnsi="华文仿宋" w:eastAsia="华文仿宋" w:cs="华文仿宋"/>
          <w:bCs/>
          <w:sz w:val="32"/>
          <w:szCs w:val="32"/>
          <w:highlight w:val="none"/>
          <w:lang w:val="en-US" w:eastAsia="zh-CN"/>
        </w:rPr>
        <w:t>/限时办结</w:t>
      </w:r>
    </w:p>
    <w:p>
      <w:pPr>
        <w:ind w:firstLine="640" w:firstLineChars="200"/>
        <w:rPr>
          <w:rFonts w:ascii="华文仿宋" w:hAnsi="华文仿宋" w:eastAsia="华文仿宋" w:cs="华文仿宋"/>
          <w:bCs/>
          <w:sz w:val="32"/>
          <w:szCs w:val="32"/>
        </w:rPr>
      </w:pPr>
      <w:r>
        <w:rPr>
          <w:rFonts w:hint="eastAsia" w:ascii="华文仿宋" w:hAnsi="华文仿宋" w:eastAsia="华文仿宋" w:cs="华文仿宋"/>
          <w:bCs/>
          <w:sz w:val="32"/>
          <w:szCs w:val="32"/>
        </w:rPr>
        <w:t>1.申请人登录电子税务局系统，通过点击菜单【特别纳税调查自行调整（缴纳）】进入该模块；</w:t>
      </w:r>
    </w:p>
    <w:p>
      <w:pPr>
        <w:pStyle w:val="2"/>
        <w:ind w:firstLine="640"/>
        <w:rPr>
          <w:rFonts w:hint="eastAsia" w:ascii="华文仿宋" w:hAnsi="华文仿宋" w:eastAsia="华文仿宋" w:cs="华文仿宋"/>
          <w:bCs/>
          <w:kern w:val="2"/>
          <w:sz w:val="32"/>
          <w:szCs w:val="32"/>
        </w:rPr>
      </w:pPr>
      <w:r>
        <w:rPr>
          <w:rFonts w:hint="eastAsia" w:ascii="华文仿宋" w:hAnsi="华文仿宋" w:eastAsia="华文仿宋" w:cs="华文仿宋"/>
          <w:bCs/>
          <w:kern w:val="2"/>
          <w:sz w:val="32"/>
          <w:szCs w:val="32"/>
        </w:rPr>
        <w:t>2</w:t>
      </w:r>
      <w:r>
        <w:rPr>
          <w:rFonts w:ascii="华文仿宋" w:hAnsi="华文仿宋" w:eastAsia="华文仿宋" w:cs="华文仿宋"/>
          <w:bCs/>
          <w:kern w:val="2"/>
          <w:sz w:val="32"/>
          <w:szCs w:val="32"/>
        </w:rPr>
        <w:t>.</w:t>
      </w:r>
      <w:r>
        <w:rPr>
          <w:rFonts w:hint="eastAsia" w:ascii="华文仿宋" w:hAnsi="华文仿宋" w:eastAsia="华文仿宋" w:cs="华文仿宋"/>
          <w:bCs/>
          <w:kern w:val="2"/>
          <w:sz w:val="32"/>
          <w:szCs w:val="32"/>
        </w:rPr>
        <w:t>填写所属年度、自行缴纳税款金额，并选择是否加收利息以及加收利息情况后，点击提交申报即可。</w:t>
      </w:r>
    </w:p>
    <w:p>
      <w:pPr>
        <w:pStyle w:val="3"/>
        <w:ind w:firstLine="643" w:firstLineChars="200"/>
        <w:rPr>
          <w:rFonts w:hint="eastAsia"/>
          <w:sz w:val="32"/>
          <w:szCs w:val="32"/>
        </w:rPr>
      </w:pPr>
      <w:r>
        <w:rPr>
          <w:rFonts w:hint="eastAsia"/>
          <w:sz w:val="32"/>
          <w:szCs w:val="32"/>
        </w:rPr>
        <w:t>三、关联场景</w:t>
      </w:r>
    </w:p>
    <w:tbl>
      <w:tblPr>
        <w:tblStyle w:val="4"/>
        <w:tblW w:w="4998" w:type="pct"/>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700"/>
        <w:gridCol w:w="822"/>
        <w:gridCol w:w="1035"/>
        <w:gridCol w:w="1659"/>
        <w:gridCol w:w="430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blHeader/>
        </w:trPr>
        <w:tc>
          <w:tcPr>
            <w:tcW w:w="411" w:type="pct"/>
            <w:shd w:val="clear" w:color="auto" w:fill="D7D7D7"/>
            <w:noWrap w:val="0"/>
            <w:vAlign w:val="center"/>
          </w:tcPr>
          <w:p>
            <w:pPr>
              <w:pStyle w:val="6"/>
              <w:rPr>
                <w:rFonts w:hint="eastAsia" w:ascii="宋体" w:hAnsi="宋体" w:cs="宋体"/>
                <w:kern w:val="2"/>
                <w:sz w:val="21"/>
                <w:szCs w:val="21"/>
              </w:rPr>
            </w:pPr>
            <w:r>
              <w:rPr>
                <w:rFonts w:hint="eastAsia" w:ascii="宋体" w:hAnsi="宋体" w:cs="宋体"/>
                <w:kern w:val="2"/>
                <w:sz w:val="21"/>
                <w:szCs w:val="21"/>
              </w:rPr>
              <w:t>场景编号</w:t>
            </w:r>
          </w:p>
        </w:tc>
        <w:tc>
          <w:tcPr>
            <w:tcW w:w="482" w:type="pct"/>
            <w:shd w:val="clear" w:color="auto" w:fill="D7D7D7"/>
            <w:noWrap w:val="0"/>
            <w:vAlign w:val="center"/>
          </w:tcPr>
          <w:p>
            <w:pPr>
              <w:pStyle w:val="6"/>
              <w:rPr>
                <w:rFonts w:hint="eastAsia" w:ascii="宋体" w:hAnsi="宋体" w:cs="宋体"/>
                <w:kern w:val="2"/>
                <w:sz w:val="21"/>
                <w:szCs w:val="21"/>
              </w:rPr>
            </w:pPr>
            <w:r>
              <w:rPr>
                <w:rFonts w:hint="eastAsia" w:ascii="宋体" w:hAnsi="宋体" w:cs="宋体"/>
                <w:kern w:val="2"/>
                <w:sz w:val="21"/>
                <w:szCs w:val="21"/>
              </w:rPr>
              <w:t>场景顺序</w:t>
            </w:r>
          </w:p>
        </w:tc>
        <w:tc>
          <w:tcPr>
            <w:tcW w:w="607" w:type="pct"/>
            <w:shd w:val="clear" w:color="auto" w:fill="D7D7D7"/>
            <w:noWrap w:val="0"/>
            <w:vAlign w:val="center"/>
          </w:tcPr>
          <w:p>
            <w:pPr>
              <w:pStyle w:val="6"/>
              <w:rPr>
                <w:rFonts w:hint="eastAsia" w:ascii="宋体" w:hAnsi="宋体" w:cs="宋体"/>
                <w:kern w:val="2"/>
                <w:sz w:val="21"/>
                <w:szCs w:val="21"/>
              </w:rPr>
            </w:pPr>
            <w:r>
              <w:rPr>
                <w:rFonts w:hint="eastAsia" w:ascii="宋体" w:hAnsi="宋体" w:cs="宋体"/>
                <w:kern w:val="2"/>
                <w:sz w:val="21"/>
                <w:szCs w:val="21"/>
              </w:rPr>
              <w:t>是否强制关联</w:t>
            </w:r>
          </w:p>
        </w:tc>
        <w:tc>
          <w:tcPr>
            <w:tcW w:w="973" w:type="pct"/>
            <w:shd w:val="clear" w:color="auto" w:fill="D7D7D7"/>
            <w:noWrap w:val="0"/>
            <w:vAlign w:val="center"/>
          </w:tcPr>
          <w:p>
            <w:pPr>
              <w:pStyle w:val="6"/>
              <w:rPr>
                <w:rFonts w:hint="eastAsia" w:ascii="宋体" w:hAnsi="宋体" w:cs="宋体"/>
                <w:kern w:val="2"/>
                <w:sz w:val="21"/>
                <w:szCs w:val="21"/>
              </w:rPr>
            </w:pPr>
            <w:r>
              <w:rPr>
                <w:rFonts w:hint="eastAsia" w:ascii="宋体" w:hAnsi="宋体" w:cs="宋体"/>
                <w:kern w:val="2"/>
                <w:sz w:val="21"/>
                <w:szCs w:val="21"/>
              </w:rPr>
              <w:t>场景名称</w:t>
            </w:r>
          </w:p>
        </w:tc>
        <w:tc>
          <w:tcPr>
            <w:tcW w:w="2524" w:type="pct"/>
            <w:shd w:val="clear" w:color="auto" w:fill="D7D7D7"/>
            <w:noWrap w:val="0"/>
            <w:vAlign w:val="center"/>
          </w:tcPr>
          <w:p>
            <w:pPr>
              <w:pStyle w:val="6"/>
              <w:rPr>
                <w:rFonts w:hint="eastAsia" w:ascii="宋体" w:hAnsi="宋体" w:cs="宋体"/>
                <w:kern w:val="2"/>
                <w:sz w:val="21"/>
                <w:szCs w:val="21"/>
              </w:rPr>
            </w:pPr>
            <w:r>
              <w:rPr>
                <w:rFonts w:hint="eastAsia" w:ascii="宋体" w:hAnsi="宋体" w:cs="宋体"/>
                <w:kern w:val="2"/>
                <w:sz w:val="21"/>
                <w:szCs w:val="21"/>
              </w:rPr>
              <w:t>关联关系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1</w:t>
            </w:r>
          </w:p>
        </w:tc>
        <w:tc>
          <w:tcPr>
            <w:tcW w:w="482"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pStyle w:val="8"/>
              <w:rPr>
                <w:rFonts w:hint="eastAsia" w:ascii="宋体" w:hAnsi="宋体" w:eastAsia="宋体" w:cs="宋体"/>
                <w:sz w:val="21"/>
                <w:szCs w:val="21"/>
              </w:rPr>
            </w:pPr>
            <w:r>
              <w:rPr>
                <w:rFonts w:hint="eastAsia" w:ascii="宋体" w:hAnsi="宋体" w:eastAsia="宋体" w:cs="宋体"/>
                <w:kern w:val="2"/>
                <w:sz w:val="21"/>
                <w:szCs w:val="21"/>
              </w:rPr>
              <w:t>关联业务往来年度报告申报</w:t>
            </w:r>
          </w:p>
        </w:tc>
        <w:tc>
          <w:tcPr>
            <w:tcW w:w="2524" w:type="pct"/>
            <w:noWrap w:val="0"/>
            <w:vAlign w:val="center"/>
          </w:tcPr>
          <w:p>
            <w:pPr>
              <w:pStyle w:val="8"/>
              <w:jc w:val="left"/>
              <w:rPr>
                <w:rFonts w:hint="eastAsia" w:ascii="宋体" w:hAnsi="宋体" w:eastAsia="宋体" w:cs="宋体"/>
                <w:sz w:val="21"/>
                <w:szCs w:val="21"/>
              </w:rPr>
            </w:pPr>
            <w:r>
              <w:rPr>
                <w:rFonts w:hint="eastAsia" w:ascii="宋体" w:hAnsi="宋体" w:eastAsia="宋体" w:cs="宋体"/>
                <w:kern w:val="2"/>
                <w:sz w:val="21"/>
                <w:szCs w:val="21"/>
              </w:rPr>
              <w:t>税务机关通过关联申报审核，发现企业存在特别纳税调整风险的，可以向企业送达税务事项通知书，提示其存在的税收风险，企业可以自行调整补税。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2</w:t>
            </w:r>
          </w:p>
        </w:tc>
        <w:tc>
          <w:tcPr>
            <w:tcW w:w="482"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pStyle w:val="8"/>
              <w:rPr>
                <w:rFonts w:hint="eastAsia" w:ascii="宋体" w:hAnsi="宋体" w:eastAsia="宋体" w:cs="宋体"/>
                <w:sz w:val="21"/>
                <w:szCs w:val="21"/>
              </w:rPr>
            </w:pPr>
            <w:r>
              <w:rPr>
                <w:rFonts w:hint="eastAsia" w:ascii="宋体" w:hAnsi="宋体" w:eastAsia="宋体" w:cs="宋体"/>
                <w:kern w:val="2"/>
                <w:sz w:val="21"/>
                <w:szCs w:val="21"/>
              </w:rPr>
              <w:t>特别纳税调整数据采集</w:t>
            </w:r>
          </w:p>
        </w:tc>
        <w:tc>
          <w:tcPr>
            <w:tcW w:w="2524" w:type="pct"/>
            <w:noWrap w:val="0"/>
            <w:vAlign w:val="center"/>
          </w:tcPr>
          <w:p>
            <w:pPr>
              <w:pStyle w:val="8"/>
              <w:jc w:val="left"/>
              <w:rPr>
                <w:rFonts w:hint="eastAsia" w:ascii="宋体" w:hAnsi="宋体" w:eastAsia="宋体" w:cs="宋体"/>
                <w:sz w:val="21"/>
                <w:szCs w:val="21"/>
              </w:rPr>
            </w:pPr>
            <w:r>
              <w:rPr>
                <w:rFonts w:hint="eastAsia" w:ascii="宋体" w:hAnsi="宋体" w:eastAsia="宋体" w:cs="宋体"/>
                <w:kern w:val="2"/>
                <w:sz w:val="21"/>
                <w:szCs w:val="21"/>
              </w:rPr>
              <w:t>税务机关通过同期资料管理，发现企业存在特别纳税调整风险的，可以向企业送达税务事项通知书，提示其存在的税收风险，企业可以自行调整补税。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3</w:t>
            </w:r>
          </w:p>
        </w:tc>
        <w:tc>
          <w:tcPr>
            <w:tcW w:w="482" w:type="pct"/>
            <w:noWrap w:val="0"/>
            <w:vAlign w:val="center"/>
          </w:tcPr>
          <w:p>
            <w:pPr>
              <w:pStyle w:val="8"/>
              <w:rPr>
                <w:rFonts w:hint="eastAsia" w:ascii="宋体" w:hAnsi="宋体" w:eastAsia="宋体" w:cs="宋体"/>
                <w:kern w:val="2"/>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强制</w:t>
            </w:r>
            <w:r>
              <w:rPr>
                <w:rFonts w:hint="eastAsia" w:ascii="宋体" w:hAnsi="宋体" w:eastAsia="宋体" w:cs="宋体"/>
                <w:sz w:val="21"/>
                <w:szCs w:val="21"/>
                <w:lang w:eastAsia="zh-Hans"/>
              </w:rPr>
              <w:t>关联</w:t>
            </w:r>
          </w:p>
        </w:tc>
        <w:tc>
          <w:tcPr>
            <w:tcW w:w="973" w:type="pct"/>
            <w:noWrap w:val="0"/>
            <w:vAlign w:val="center"/>
          </w:tcPr>
          <w:p>
            <w:pPr>
              <w:pStyle w:val="8"/>
              <w:jc w:val="left"/>
              <w:rPr>
                <w:rFonts w:hint="eastAsia" w:ascii="宋体" w:hAnsi="宋体" w:eastAsia="宋体" w:cs="宋体"/>
                <w:sz w:val="21"/>
                <w:szCs w:val="21"/>
              </w:rPr>
            </w:pPr>
            <w:r>
              <w:rPr>
                <w:rFonts w:hint="eastAsia" w:ascii="宋体" w:hAnsi="宋体" w:eastAsia="宋体" w:cs="宋体"/>
                <w:kern w:val="2"/>
                <w:sz w:val="21"/>
                <w:szCs w:val="21"/>
              </w:rPr>
              <w:t>居民企业(查账征收)企业所得税年度申报</w:t>
            </w:r>
          </w:p>
        </w:tc>
        <w:tc>
          <w:tcPr>
            <w:tcW w:w="2524" w:type="pct"/>
            <w:noWrap w:val="0"/>
            <w:vAlign w:val="top"/>
          </w:tcPr>
          <w:p>
            <w:pPr>
              <w:pStyle w:val="8"/>
              <w:jc w:val="left"/>
              <w:rPr>
                <w:rFonts w:hint="eastAsia" w:ascii="宋体" w:hAnsi="宋体" w:eastAsia="宋体" w:cs="宋体"/>
                <w:sz w:val="21"/>
                <w:szCs w:val="21"/>
              </w:rPr>
            </w:pPr>
            <w:r>
              <w:rPr>
                <w:rFonts w:hint="eastAsia" w:ascii="宋体" w:hAnsi="宋体" w:eastAsia="宋体" w:cs="宋体"/>
                <w:kern w:val="2"/>
                <w:sz w:val="21"/>
                <w:szCs w:val="21"/>
              </w:rPr>
              <w:t>纳税人填报特别纳税调整自行缴纳税款表前，必须完成居民企业(查账征收)企业所得税年度申报。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4</w:t>
            </w:r>
          </w:p>
        </w:tc>
        <w:tc>
          <w:tcPr>
            <w:tcW w:w="482"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pStyle w:val="8"/>
              <w:rPr>
                <w:rFonts w:hint="eastAsia" w:ascii="宋体" w:hAnsi="宋体" w:eastAsia="宋体" w:cs="宋体"/>
                <w:kern w:val="2"/>
                <w:sz w:val="21"/>
                <w:szCs w:val="21"/>
              </w:rPr>
            </w:pPr>
            <w:r>
              <w:rPr>
                <w:rFonts w:hint="eastAsia" w:ascii="宋体" w:hAnsi="宋体" w:eastAsia="宋体" w:cs="宋体"/>
                <w:sz w:val="21"/>
                <w:szCs w:val="21"/>
              </w:rPr>
              <w:t>特别纳税调查立案</w:t>
            </w:r>
          </w:p>
        </w:tc>
        <w:tc>
          <w:tcPr>
            <w:tcW w:w="2524" w:type="pct"/>
            <w:noWrap w:val="0"/>
            <w:vAlign w:val="center"/>
          </w:tcPr>
          <w:p>
            <w:pPr>
              <w:pStyle w:val="8"/>
              <w:jc w:val="left"/>
              <w:rPr>
                <w:rFonts w:hint="eastAsia" w:ascii="宋体" w:hAnsi="宋体" w:eastAsia="宋体" w:cs="宋体"/>
                <w:kern w:val="2"/>
                <w:sz w:val="21"/>
                <w:szCs w:val="21"/>
              </w:rPr>
            </w:pPr>
            <w:r>
              <w:rPr>
                <w:rFonts w:hint="eastAsia" w:ascii="宋体" w:hAnsi="宋体" w:eastAsia="宋体" w:cs="宋体"/>
                <w:sz w:val="21"/>
                <w:szCs w:val="21"/>
              </w:rPr>
              <w:t>经调查，税务机关发现企业存在特别纳税调整问题的，企业可以在收到《特别纳税调查调整通知书》前自行缴纳税款。</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5</w:t>
            </w:r>
          </w:p>
        </w:tc>
        <w:tc>
          <w:tcPr>
            <w:tcW w:w="482"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pStyle w:val="8"/>
              <w:rPr>
                <w:rFonts w:hint="eastAsia" w:ascii="宋体" w:hAnsi="宋体" w:eastAsia="宋体" w:cs="宋体"/>
                <w:sz w:val="21"/>
                <w:szCs w:val="21"/>
              </w:rPr>
            </w:pPr>
            <w:r>
              <w:rPr>
                <w:rFonts w:hint="eastAsia" w:ascii="宋体" w:hAnsi="宋体" w:eastAsia="宋体" w:cs="宋体"/>
                <w:kern w:val="2"/>
                <w:sz w:val="21"/>
                <w:szCs w:val="21"/>
                <w:lang w:eastAsia="zh-Hans"/>
              </w:rPr>
              <w:t>预约定价安排谈签与执行</w:t>
            </w:r>
          </w:p>
        </w:tc>
        <w:tc>
          <w:tcPr>
            <w:tcW w:w="2524" w:type="pct"/>
            <w:noWrap w:val="0"/>
            <w:vAlign w:val="center"/>
          </w:tcPr>
          <w:p>
            <w:pPr>
              <w:pStyle w:val="8"/>
              <w:jc w:val="left"/>
              <w:rPr>
                <w:rFonts w:hint="eastAsia" w:ascii="宋体" w:hAnsi="宋体" w:eastAsia="宋体" w:cs="宋体"/>
                <w:kern w:val="2"/>
                <w:sz w:val="21"/>
                <w:szCs w:val="21"/>
              </w:rPr>
            </w:pPr>
            <w:r>
              <w:rPr>
                <w:rFonts w:hint="eastAsia" w:ascii="宋体" w:hAnsi="宋体" w:eastAsia="宋体" w:cs="宋体"/>
                <w:kern w:val="2"/>
                <w:sz w:val="21"/>
                <w:szCs w:val="21"/>
                <w:lang w:eastAsia="zh-Hans"/>
              </w:rPr>
              <w:t>企业以前年度的关联交易与预约定价安排适用年度相同或者类似的，经企业申请，税务机关可以将预约定价安排确定的定价原则和计算方法追溯适用于以前年度该关联交易的评估和调整，企业可以在收到《预约定价安排补（退）税款通知书》前自行缴纳税款</w:t>
            </w:r>
            <w:r>
              <w:rPr>
                <w:rFonts w:hint="eastAsia" w:ascii="宋体" w:hAnsi="宋体" w:eastAsia="宋体" w:cs="宋体"/>
                <w:kern w:val="2"/>
                <w:sz w:val="21"/>
                <w:szCs w:val="21"/>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6</w:t>
            </w:r>
          </w:p>
        </w:tc>
        <w:tc>
          <w:tcPr>
            <w:tcW w:w="482"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前序场景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pStyle w:val="8"/>
              <w:rPr>
                <w:rFonts w:hint="eastAsia" w:ascii="宋体" w:hAnsi="宋体" w:eastAsia="宋体" w:cs="宋体"/>
                <w:kern w:val="2"/>
                <w:sz w:val="21"/>
                <w:szCs w:val="21"/>
                <w:lang w:eastAsia="zh-Hans"/>
              </w:rPr>
            </w:pPr>
            <w:r>
              <w:rPr>
                <w:rFonts w:hint="eastAsia" w:ascii="宋体" w:hAnsi="宋体" w:eastAsia="宋体" w:cs="宋体"/>
                <w:sz w:val="21"/>
                <w:szCs w:val="21"/>
              </w:rPr>
              <w:t>特别纳税调整监控管理</w:t>
            </w:r>
          </w:p>
        </w:tc>
        <w:tc>
          <w:tcPr>
            <w:tcW w:w="2524" w:type="pct"/>
            <w:noWrap w:val="0"/>
            <w:vAlign w:val="center"/>
          </w:tcPr>
          <w:p>
            <w:pPr>
              <w:pStyle w:val="8"/>
              <w:jc w:val="left"/>
              <w:rPr>
                <w:rFonts w:hint="eastAsia" w:ascii="宋体" w:hAnsi="宋体" w:eastAsia="宋体" w:cs="宋体"/>
                <w:kern w:val="2"/>
                <w:sz w:val="21"/>
                <w:szCs w:val="21"/>
                <w:lang w:eastAsia="zh-Hans"/>
              </w:rPr>
            </w:pPr>
            <w:r>
              <w:rPr>
                <w:rFonts w:hint="eastAsia" w:ascii="宋体" w:hAnsi="宋体" w:eastAsia="宋体" w:cs="宋体"/>
                <w:sz w:val="21"/>
                <w:szCs w:val="21"/>
              </w:rPr>
              <w:t>税务机关通过关联申报审核、同期资料管理和利润水平监控等手段，对企业实施特别纳税调整监控管理，发现企业存在特别纳税调整风险的，可以向企业送达《税务事项通知书》，提示其存在的税收风险，企业可以自行调整补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c>
          <w:tcPr>
            <w:tcW w:w="411"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7</w:t>
            </w:r>
          </w:p>
        </w:tc>
        <w:tc>
          <w:tcPr>
            <w:tcW w:w="482" w:type="pct"/>
            <w:noWrap w:val="0"/>
            <w:vAlign w:val="center"/>
          </w:tcPr>
          <w:p>
            <w:pPr>
              <w:pStyle w:val="8"/>
              <w:rPr>
                <w:rFonts w:hint="eastAsia" w:ascii="宋体" w:hAnsi="宋体" w:eastAsia="宋体" w:cs="宋体"/>
                <w:kern w:val="2"/>
                <w:sz w:val="21"/>
                <w:szCs w:val="21"/>
              </w:rPr>
            </w:pPr>
            <w:r>
              <w:rPr>
                <w:rFonts w:hint="eastAsia" w:ascii="宋体" w:hAnsi="宋体" w:eastAsia="宋体" w:cs="宋体"/>
                <w:sz w:val="21"/>
                <w:szCs w:val="21"/>
              </w:rPr>
              <w:t>后序场景</w:t>
            </w:r>
          </w:p>
        </w:tc>
        <w:tc>
          <w:tcPr>
            <w:tcW w:w="607" w:type="pct"/>
            <w:noWrap w:val="0"/>
            <w:vAlign w:val="center"/>
          </w:tcPr>
          <w:p>
            <w:pPr>
              <w:pStyle w:val="8"/>
              <w:rPr>
                <w:rFonts w:hint="eastAsia" w:ascii="宋体" w:hAnsi="宋体" w:eastAsia="宋体" w:cs="宋体"/>
                <w:sz w:val="21"/>
                <w:szCs w:val="21"/>
              </w:rPr>
            </w:pPr>
            <w:r>
              <w:rPr>
                <w:rFonts w:hint="eastAsia" w:ascii="宋体" w:hAnsi="宋体" w:eastAsia="宋体" w:cs="宋体"/>
                <w:sz w:val="21"/>
                <w:szCs w:val="21"/>
              </w:rPr>
              <w:t>非强制</w:t>
            </w:r>
            <w:r>
              <w:rPr>
                <w:rFonts w:hint="eastAsia" w:ascii="宋体" w:hAnsi="宋体" w:eastAsia="宋体" w:cs="宋体"/>
                <w:sz w:val="21"/>
                <w:szCs w:val="21"/>
                <w:lang w:eastAsia="zh-Hans"/>
              </w:rPr>
              <w:t>关联</w:t>
            </w:r>
          </w:p>
        </w:tc>
        <w:tc>
          <w:tcPr>
            <w:tcW w:w="973" w:type="pct"/>
            <w:noWrap w:val="0"/>
            <w:vAlign w:val="center"/>
          </w:tcPr>
          <w:p>
            <w:pPr>
              <w:rPr>
                <w:rFonts w:ascii="宋体" w:hAnsi="宋体" w:cs="宋体"/>
                <w:szCs w:val="21"/>
              </w:rPr>
            </w:pPr>
            <w:r>
              <w:rPr>
                <w:rFonts w:hint="eastAsia" w:ascii="宋体" w:hAnsi="宋体" w:cs="宋体"/>
                <w:szCs w:val="21"/>
              </w:rPr>
              <w:t>缴款开票</w:t>
            </w:r>
          </w:p>
        </w:tc>
        <w:tc>
          <w:tcPr>
            <w:tcW w:w="2524" w:type="pct"/>
            <w:noWrap w:val="0"/>
            <w:vAlign w:val="center"/>
          </w:tcPr>
          <w:p>
            <w:pPr>
              <w:rPr>
                <w:rFonts w:hint="eastAsia" w:ascii="宋体" w:hAnsi="宋体" w:cs="宋体"/>
                <w:szCs w:val="21"/>
              </w:rPr>
            </w:pPr>
            <w:r>
              <w:rPr>
                <w:rFonts w:hint="eastAsia" w:ascii="宋体" w:hAnsi="宋体" w:cs="宋体"/>
                <w:szCs w:val="21"/>
              </w:rPr>
              <w:t>申报完成后，系统自动生成缴款信息，纳税人完成缴款后自动开具税票。《特别纳税调整自行缴纳税款表》（特调纳税调查）自行缴纳税款金额合计大于０时触发。</w:t>
            </w:r>
          </w:p>
        </w:tc>
      </w:tr>
    </w:tbl>
    <w:p>
      <w:pPr>
        <w:pStyle w:val="3"/>
        <w:ind w:firstLine="643" w:firstLineChars="200"/>
        <w:rPr>
          <w:rFonts w:hint="eastAsia"/>
          <w:sz w:val="32"/>
          <w:szCs w:val="32"/>
        </w:rPr>
      </w:pPr>
      <w:r>
        <w:rPr>
          <w:rFonts w:hint="eastAsia"/>
          <w:sz w:val="32"/>
          <w:szCs w:val="32"/>
          <w:lang w:eastAsia="zh-CN"/>
        </w:rPr>
        <w:t>四</w:t>
      </w:r>
      <w:r>
        <w:rPr>
          <w:rFonts w:hint="eastAsia"/>
          <w:sz w:val="32"/>
          <w:szCs w:val="32"/>
        </w:rPr>
        <w:t>、功能路径</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1.【我要办税】-【税费申报及缴纳】-【税费缴纳】-【特别纳税调查自行调整（缴纳）】。</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2. 通过首页搜索栏输入关键字查找出的“特别纳税调查自行调整（缴纳）”进入办税功能。</w:t>
      </w:r>
    </w:p>
    <w:p>
      <w:pPr>
        <w:pStyle w:val="3"/>
        <w:ind w:firstLine="643" w:firstLineChars="200"/>
        <w:rPr>
          <w:rFonts w:hint="eastAsia"/>
          <w:sz w:val="32"/>
          <w:szCs w:val="32"/>
        </w:rPr>
      </w:pPr>
      <w:r>
        <w:rPr>
          <w:rFonts w:hint="eastAsia"/>
          <w:sz w:val="32"/>
          <w:szCs w:val="32"/>
          <w:lang w:val="en-US" w:eastAsia="zh-CN"/>
        </w:rPr>
        <w:t>五</w:t>
      </w:r>
      <w:r>
        <w:rPr>
          <w:rFonts w:hint="eastAsia"/>
          <w:sz w:val="32"/>
          <w:szCs w:val="32"/>
        </w:rPr>
        <w:t>、操作步骤</w:t>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1. 登录新电子税务局后，点击【我要办税】-【税费申报及缴纳】-【税费缴纳】-【特别纳税调查自行调整（缴纳）】功能菜单。</w:t>
      </w:r>
    </w:p>
    <w:p>
      <w:pPr>
        <w:pStyle w:val="2"/>
        <w:ind w:left="0" w:leftChars="0" w:firstLine="0" w:firstLineChars="0"/>
        <w:rPr>
          <w:rFonts w:hint="eastAsia" w:ascii="华文仿宋" w:hAnsi="华文仿宋" w:eastAsia="华文仿宋" w:cs="华文仿宋"/>
          <w:bCs/>
          <w:kern w:val="2"/>
          <w:sz w:val="32"/>
          <w:szCs w:val="32"/>
          <w:lang w:eastAsia="zh-CN"/>
        </w:rPr>
      </w:pPr>
      <w:r>
        <w:rPr>
          <w:rFonts w:hint="eastAsia" w:ascii="华文仿宋" w:hAnsi="华文仿宋" w:eastAsia="华文仿宋" w:cs="华文仿宋"/>
          <w:bCs/>
          <w:kern w:val="2"/>
          <w:sz w:val="32"/>
          <w:szCs w:val="32"/>
          <w:lang w:eastAsia="zh-CN"/>
        </w:rPr>
        <w:drawing>
          <wp:inline distT="0" distB="0" distL="114300" distR="114300">
            <wp:extent cx="5260975" cy="2533015"/>
            <wp:effectExtent l="0" t="0" r="15875" b="635"/>
            <wp:docPr id="1" name="图片 1" descr="200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0091-1"/>
                    <pic:cNvPicPr>
                      <a:picLocks noChangeAspect="1"/>
                    </pic:cNvPicPr>
                  </pic:nvPicPr>
                  <pic:blipFill>
                    <a:blip r:embed="rId4"/>
                    <a:stretch>
                      <a:fillRect/>
                    </a:stretch>
                  </pic:blipFill>
                  <pic:spPr>
                    <a:xfrm>
                      <a:off x="0" y="0"/>
                      <a:ext cx="5260975" cy="2533015"/>
                    </a:xfrm>
                    <a:prstGeom prst="rect">
                      <a:avLst/>
                    </a:prstGeom>
                  </pic:spPr>
                </pic:pic>
              </a:graphicData>
            </a:graphic>
          </wp:inline>
        </w:drawing>
      </w:r>
    </w:p>
    <w:p>
      <w:pPr>
        <w:pStyle w:val="2"/>
        <w:ind w:firstLine="640"/>
        <w:rPr>
          <w:rFonts w:hint="eastAsia" w:ascii="华文仿宋" w:hAnsi="华文仿宋" w:eastAsia="华文仿宋" w:cs="华文仿宋"/>
          <w:bCs/>
          <w:kern w:val="2"/>
          <w:sz w:val="32"/>
          <w:szCs w:val="32"/>
          <w:lang w:eastAsia="zh-CN"/>
        </w:rPr>
      </w:pP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2.前置监控通过后，进入表单。</w:t>
      </w:r>
    </w:p>
    <w:p>
      <w:pPr>
        <w:pStyle w:val="2"/>
        <w:ind w:left="0" w:leftChars="0" w:firstLine="0" w:firstLineChars="0"/>
        <w:rPr>
          <w:rFonts w:hint="eastAsia" w:ascii="华文仿宋" w:hAnsi="华文仿宋" w:eastAsia="华文仿宋" w:cs="华文仿宋"/>
          <w:bCs/>
          <w:kern w:val="2"/>
          <w:sz w:val="32"/>
          <w:szCs w:val="32"/>
          <w:lang w:eastAsia="zh-CN"/>
        </w:rPr>
      </w:pPr>
      <w:r>
        <w:rPr>
          <w:rFonts w:hint="eastAsia" w:ascii="华文仿宋" w:hAnsi="华文仿宋" w:eastAsia="华文仿宋" w:cs="华文仿宋"/>
          <w:bCs/>
          <w:kern w:val="2"/>
          <w:sz w:val="32"/>
          <w:szCs w:val="32"/>
          <w:lang w:eastAsia="zh-CN"/>
        </w:rPr>
        <w:drawing>
          <wp:inline distT="0" distB="0" distL="114300" distR="114300">
            <wp:extent cx="5264785" cy="2779395"/>
            <wp:effectExtent l="0" t="0" r="12065" b="1905"/>
            <wp:docPr id="2" name="图片 2" descr="200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091-2"/>
                    <pic:cNvPicPr>
                      <a:picLocks noChangeAspect="1"/>
                    </pic:cNvPicPr>
                  </pic:nvPicPr>
                  <pic:blipFill>
                    <a:blip r:embed="rId5"/>
                    <a:stretch>
                      <a:fillRect/>
                    </a:stretch>
                  </pic:blipFill>
                  <pic:spPr>
                    <a:xfrm>
                      <a:off x="0" y="0"/>
                      <a:ext cx="5264785" cy="2779395"/>
                    </a:xfrm>
                    <a:prstGeom prst="rect">
                      <a:avLst/>
                    </a:prstGeom>
                  </pic:spPr>
                </pic:pic>
              </a:graphicData>
            </a:graphic>
          </wp:inline>
        </w:drawing>
      </w:r>
    </w:p>
    <w:p>
      <w:pPr>
        <w:numPr>
          <w:ilvl w:val="0"/>
          <w:numId w:val="2"/>
        </w:num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选择所属年度，且“加收利息情况”选择“基准利率”时，判断所属年度是否有报送同期资料，如无则提示：“您好，企业提供同期资料及有关资料的可按基准利率加收利息，您可前往【特别纳税调整数据采集】模块报送。”，并提供链接进行跳转办理。</w:t>
      </w:r>
    </w:p>
    <w:p>
      <w:pPr>
        <w:pStyle w:val="2"/>
        <w:ind w:left="0" w:leftChars="0" w:firstLine="0" w:firstLineChars="0"/>
        <w:rPr>
          <w:rFonts w:hint="eastAsia" w:ascii="华文仿宋" w:hAnsi="华文仿宋" w:eastAsia="华文仿宋" w:cs="华文仿宋"/>
          <w:bCs/>
          <w:kern w:val="2"/>
          <w:sz w:val="32"/>
          <w:szCs w:val="32"/>
          <w:lang w:eastAsia="zh-CN"/>
        </w:rPr>
      </w:pPr>
      <w:r>
        <w:rPr>
          <w:rFonts w:hint="eastAsia" w:ascii="华文仿宋" w:hAnsi="华文仿宋" w:eastAsia="华文仿宋" w:cs="华文仿宋"/>
          <w:bCs/>
          <w:kern w:val="2"/>
          <w:sz w:val="32"/>
          <w:szCs w:val="32"/>
          <w:lang w:eastAsia="zh-CN"/>
        </w:rPr>
        <w:drawing>
          <wp:inline distT="0" distB="0" distL="114300" distR="114300">
            <wp:extent cx="5264785" cy="2783205"/>
            <wp:effectExtent l="0" t="0" r="12065" b="17145"/>
            <wp:docPr id="3" name="图片 3" descr="200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0091-3"/>
                    <pic:cNvPicPr>
                      <a:picLocks noChangeAspect="1"/>
                    </pic:cNvPicPr>
                  </pic:nvPicPr>
                  <pic:blipFill>
                    <a:blip r:embed="rId6"/>
                    <a:stretch>
                      <a:fillRect/>
                    </a:stretch>
                  </pic:blipFill>
                  <pic:spPr>
                    <a:xfrm>
                      <a:off x="0" y="0"/>
                      <a:ext cx="5264785" cy="2783205"/>
                    </a:xfrm>
                    <a:prstGeom prst="rect">
                      <a:avLst/>
                    </a:prstGeom>
                  </pic:spPr>
                </pic:pic>
              </a:graphicData>
            </a:graphic>
          </wp:inline>
        </w:drawing>
      </w:r>
    </w:p>
    <w:p>
      <w:pPr>
        <w:ind w:firstLine="640" w:firstLineChars="200"/>
        <w:rPr>
          <w:rFonts w:hint="eastAsia" w:ascii="华文仿宋" w:hAnsi="华文仿宋" w:eastAsia="华文仿宋" w:cs="华文仿宋"/>
          <w:bCs/>
          <w:sz w:val="32"/>
          <w:szCs w:val="32"/>
        </w:rPr>
      </w:pPr>
      <w:r>
        <w:rPr>
          <w:rFonts w:hint="eastAsia" w:ascii="华文仿宋" w:hAnsi="华文仿宋" w:eastAsia="华文仿宋" w:cs="华文仿宋"/>
          <w:bCs/>
          <w:sz w:val="32"/>
          <w:szCs w:val="32"/>
        </w:rPr>
        <w:t>4.填写完表单，点击提交申报，完成。</w:t>
      </w:r>
    </w:p>
    <w:p>
      <w:pPr>
        <w:pStyle w:val="2"/>
        <w:ind w:left="0" w:leftChars="0" w:firstLine="0" w:firstLineChars="0"/>
        <w:rPr>
          <w:rFonts w:hint="eastAsia" w:eastAsia="宋体"/>
          <w:lang w:eastAsia="zh-CN"/>
        </w:rPr>
      </w:pPr>
      <w:r>
        <w:rPr>
          <w:rFonts w:hint="eastAsia" w:eastAsia="宋体"/>
          <w:lang w:eastAsia="zh-CN"/>
        </w:rPr>
        <w:drawing>
          <wp:inline distT="0" distB="0" distL="114300" distR="114300">
            <wp:extent cx="5184140" cy="2731770"/>
            <wp:effectExtent l="0" t="0" r="16510" b="11430"/>
            <wp:docPr id="4" name="图片 4" descr="F:\制作辽宁国际税收操作手册\PDF和截图\20091修后\20091-7.png200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制作辽宁国际税收操作手册\PDF和截图\20091修后\20091-7.png20091-7"/>
                    <pic:cNvPicPr>
                      <a:picLocks noChangeAspect="1"/>
                    </pic:cNvPicPr>
                  </pic:nvPicPr>
                  <pic:blipFill>
                    <a:blip r:embed="rId7"/>
                    <a:srcRect/>
                    <a:stretch>
                      <a:fillRect/>
                    </a:stretch>
                  </pic:blipFill>
                  <pic:spPr>
                    <a:xfrm>
                      <a:off x="0" y="0"/>
                      <a:ext cx="5184140" cy="2731770"/>
                    </a:xfrm>
                    <a:prstGeom prst="rect">
                      <a:avLst/>
                    </a:prstGeom>
                  </pic:spPr>
                </pic:pic>
              </a:graphicData>
            </a:graphic>
          </wp:inline>
        </w:drawing>
      </w:r>
    </w:p>
    <w:p>
      <w:pPr>
        <w:numPr>
          <w:ilvl w:val="0"/>
          <w:numId w:val="2"/>
        </w:numPr>
        <w:ind w:left="0" w:leftChars="0" w:firstLine="640" w:firstLineChars="200"/>
        <w:rPr>
          <w:rFonts w:hint="eastAsia" w:ascii="华文仿宋" w:hAnsi="华文仿宋" w:eastAsia="华文仿宋" w:cs="华文仿宋"/>
          <w:bCs/>
          <w:sz w:val="32"/>
          <w:szCs w:val="32"/>
          <w:lang w:val="en-US" w:eastAsia="zh-CN"/>
        </w:rPr>
      </w:pPr>
      <w:r>
        <w:rPr>
          <w:rFonts w:hint="eastAsia" w:ascii="华文仿宋" w:hAnsi="华文仿宋" w:eastAsia="华文仿宋" w:cs="华文仿宋"/>
          <w:bCs/>
          <w:sz w:val="32"/>
          <w:szCs w:val="32"/>
          <w:lang w:val="en-US" w:eastAsia="zh-CN"/>
        </w:rPr>
        <w:t>再次进入表单，可以带出已经申报过的记录，点击作废按钮，点击“作废”按钮时，提示：“作废操作不可逆，作废时会同步作废《特别纳税调查自行调整（缴纳）》全部信息，请确认是否作废？”，点击“确定”按钮，作废校验通过提示“作废成功！;</w:t>
      </w:r>
      <w:r>
        <w:rPr>
          <w:rFonts w:hint="default" w:ascii="华文仿宋" w:hAnsi="华文仿宋" w:eastAsia="华文仿宋" w:cs="华文仿宋"/>
          <w:bCs/>
          <w:sz w:val="32"/>
          <w:szCs w:val="32"/>
          <w:lang w:val="en-US" w:eastAsia="zh-CN"/>
        </w:rPr>
        <w:t>点击“取消”，停留在当前页面</w:t>
      </w:r>
      <w:r>
        <w:rPr>
          <w:rFonts w:hint="eastAsia" w:ascii="华文仿宋" w:hAnsi="华文仿宋" w:eastAsia="华文仿宋" w:cs="华文仿宋"/>
          <w:bCs/>
          <w:sz w:val="32"/>
          <w:szCs w:val="32"/>
          <w:lang w:val="en-US" w:eastAsia="zh-CN"/>
        </w:rPr>
        <w:t>。</w:t>
      </w:r>
    </w:p>
    <w:p>
      <w:pPr>
        <w:pStyle w:val="2"/>
        <w:numPr>
          <w:ilvl w:val="0"/>
          <w:numId w:val="0"/>
        </w:numPr>
        <w:rPr>
          <w:rFonts w:hint="eastAsia"/>
          <w:lang w:val="en-US" w:eastAsia="zh-CN"/>
        </w:rPr>
      </w:pPr>
      <w:r>
        <w:rPr>
          <w:rFonts w:hint="eastAsia"/>
          <w:lang w:val="en-US" w:eastAsia="zh-CN"/>
        </w:rPr>
        <w:drawing>
          <wp:inline distT="0" distB="0" distL="114300" distR="114300">
            <wp:extent cx="5264785" cy="2768600"/>
            <wp:effectExtent l="0" t="0" r="12065" b="12700"/>
            <wp:docPr id="5" name="图片 5" descr="200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0091-8"/>
                    <pic:cNvPicPr>
                      <a:picLocks noChangeAspect="1"/>
                    </pic:cNvPicPr>
                  </pic:nvPicPr>
                  <pic:blipFill>
                    <a:blip r:embed="rId8"/>
                    <a:stretch>
                      <a:fillRect/>
                    </a:stretch>
                  </pic:blipFill>
                  <pic:spPr>
                    <a:xfrm>
                      <a:off x="0" y="0"/>
                      <a:ext cx="5264785" cy="2768600"/>
                    </a:xfrm>
                    <a:prstGeom prst="rect">
                      <a:avLst/>
                    </a:prstGeom>
                  </pic:spPr>
                </pic:pic>
              </a:graphicData>
            </a:graphic>
          </wp:inline>
        </w:drawing>
      </w:r>
    </w:p>
    <w:p>
      <w:pPr>
        <w:pStyle w:val="2"/>
        <w:ind w:left="0" w:leftChars="0" w:firstLine="0" w:firstLineChars="0"/>
        <w:rPr>
          <w:rFonts w:hint="eastAsia" w:eastAsia="宋体"/>
          <w:lang w:eastAsia="zh-CN"/>
        </w:rPr>
      </w:pPr>
      <w:r>
        <w:rPr>
          <w:rFonts w:hint="eastAsia" w:eastAsia="宋体"/>
          <w:lang w:eastAsia="zh-CN"/>
        </w:rPr>
        <w:drawing>
          <wp:inline distT="0" distB="0" distL="114300" distR="114300">
            <wp:extent cx="5260975" cy="2750185"/>
            <wp:effectExtent l="0" t="0" r="15875" b="12065"/>
            <wp:docPr id="6" name="图片 6" descr="200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20091-9"/>
                    <pic:cNvPicPr>
                      <a:picLocks noChangeAspect="1"/>
                    </pic:cNvPicPr>
                  </pic:nvPicPr>
                  <pic:blipFill>
                    <a:blip r:embed="rId9"/>
                    <a:stretch>
                      <a:fillRect/>
                    </a:stretch>
                  </pic:blipFill>
                  <pic:spPr>
                    <a:xfrm>
                      <a:off x="0" y="0"/>
                      <a:ext cx="5260975" cy="2750185"/>
                    </a:xfrm>
                    <a:prstGeom prst="rect">
                      <a:avLst/>
                    </a:prstGeom>
                  </pic:spPr>
                </pic:pic>
              </a:graphicData>
            </a:graphic>
          </wp:inline>
        </w:drawing>
      </w:r>
    </w:p>
    <w:p>
      <w:pPr>
        <w:pStyle w:val="3"/>
        <w:ind w:firstLine="643" w:firstLineChars="200"/>
        <w:rPr>
          <w:sz w:val="32"/>
          <w:szCs w:val="32"/>
        </w:rPr>
      </w:pPr>
      <w:r>
        <w:rPr>
          <w:rFonts w:hint="eastAsia"/>
          <w:sz w:val="32"/>
          <w:szCs w:val="32"/>
        </w:rPr>
        <w:t>六、报送资料</w:t>
      </w:r>
    </w:p>
    <w:tbl>
      <w:tblPr>
        <w:tblStyle w:val="4"/>
        <w:tblW w:w="4998"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74"/>
        <w:gridCol w:w="3126"/>
        <w:gridCol w:w="679"/>
        <w:gridCol w:w="679"/>
        <w:gridCol w:w="679"/>
        <w:gridCol w:w="679"/>
        <w:gridCol w:w="679"/>
        <w:gridCol w:w="679"/>
        <w:gridCol w:w="74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2" w:hRule="atLeast"/>
          <w:tblHeader/>
        </w:trPr>
        <w:tc>
          <w:tcPr>
            <w:tcW w:w="337"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序号</w:t>
            </w:r>
          </w:p>
        </w:tc>
        <w:tc>
          <w:tcPr>
            <w:tcW w:w="1834"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报送资料名称</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必报</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条件报送</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归档</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查验</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代保管</w:t>
            </w:r>
          </w:p>
        </w:tc>
        <w:tc>
          <w:tcPr>
            <w:tcW w:w="398" w:type="pct"/>
            <w:tcBorders>
              <w:top w:val="single" w:color="auto" w:sz="2" w:space="0"/>
              <w:left w:val="single" w:color="auto" w:sz="2" w:space="0"/>
              <w:bottom w:val="single" w:color="auto" w:sz="2" w:space="0"/>
              <w:right w:val="single" w:color="auto" w:sz="2" w:space="0"/>
            </w:tcBorders>
            <w:shd w:val="clear" w:color="auto" w:fill="D7D7D7"/>
            <w:noWrap w:val="0"/>
            <w:vAlign w:val="center"/>
          </w:tcPr>
          <w:p>
            <w:pPr>
              <w:jc w:val="center"/>
              <w:rPr>
                <w:rFonts w:ascii="宋体" w:hAnsi="宋体"/>
                <w:b/>
                <w:szCs w:val="22"/>
              </w:rPr>
            </w:pPr>
            <w:r>
              <w:rPr>
                <w:rFonts w:hint="eastAsia" w:ascii="宋体" w:hAnsi="宋体"/>
                <w:b/>
                <w:szCs w:val="22"/>
              </w:rPr>
              <w:t>核销</w:t>
            </w:r>
          </w:p>
        </w:tc>
        <w:tc>
          <w:tcPr>
            <w:tcW w:w="437" w:type="pct"/>
            <w:tcBorders>
              <w:top w:val="single" w:color="auto" w:sz="2" w:space="0"/>
              <w:left w:val="single" w:color="auto" w:sz="2" w:space="0"/>
              <w:bottom w:val="single" w:color="auto" w:sz="2" w:space="0"/>
              <w:right w:val="single" w:color="auto" w:sz="2" w:space="0"/>
            </w:tcBorders>
            <w:shd w:val="clear" w:color="auto" w:fill="D7D7D7"/>
            <w:noWrap w:val="0"/>
            <w:vAlign w:val="top"/>
          </w:tcPr>
          <w:p>
            <w:pPr>
              <w:jc w:val="center"/>
              <w:rPr>
                <w:rFonts w:ascii="宋体" w:hAnsi="宋体"/>
                <w:b/>
                <w:szCs w:val="22"/>
              </w:rPr>
            </w:pPr>
            <w:r>
              <w:rPr>
                <w:rFonts w:hint="eastAsia" w:ascii="宋体" w:hAnsi="宋体"/>
                <w:b/>
                <w:szCs w:val="22"/>
              </w:rPr>
              <w:t>容缺报送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4" w:hRule="atLeast"/>
          <w:tblHeader/>
        </w:trPr>
        <w:tc>
          <w:tcPr>
            <w:tcW w:w="337"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r>
              <w:rPr>
                <w:rFonts w:hint="eastAsia" w:ascii="宋体" w:hAnsi="宋体"/>
              </w:rPr>
              <w:t>1</w:t>
            </w:r>
          </w:p>
        </w:tc>
        <w:tc>
          <w:tcPr>
            <w:tcW w:w="1834" w:type="pct"/>
            <w:tcBorders>
              <w:top w:val="single" w:color="auto" w:sz="2" w:space="0"/>
              <w:left w:val="single" w:color="auto" w:sz="2" w:space="0"/>
              <w:bottom w:val="single" w:color="auto" w:sz="2" w:space="0"/>
              <w:right w:val="single" w:color="auto" w:sz="2" w:space="0"/>
            </w:tcBorders>
            <w:noWrap w:val="0"/>
            <w:vAlign w:val="center"/>
          </w:tcPr>
          <w:p>
            <w:pPr>
              <w:pStyle w:val="10"/>
              <w:ind w:firstLine="0" w:firstLineChars="0"/>
              <w:jc w:val="left"/>
              <w:outlineLvl w:val="2"/>
              <w:rPr>
                <w:rFonts w:ascii="宋体" w:hAnsi="宋体"/>
                <w:color w:val="000000"/>
                <w:szCs w:val="24"/>
              </w:rPr>
            </w:pPr>
            <w:r>
              <w:rPr>
                <w:rFonts w:hint="eastAsia" w:ascii="宋体" w:hAnsi="宋体"/>
                <w:color w:val="000000"/>
                <w:szCs w:val="24"/>
              </w:rPr>
              <w:t>《特别纳税调整自行缴纳税款表》</w:t>
            </w: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r>
              <w:rPr>
                <w:rFonts w:hint="eastAsia" w:ascii="宋体" w:hAnsi="宋体"/>
              </w:rPr>
              <w:t>√</w:t>
            </w: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r>
              <w:rPr>
                <w:rFonts w:hint="eastAsia" w:ascii="宋体" w:hAnsi="宋体"/>
              </w:rPr>
              <w:t>√</w:t>
            </w: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p>
        </w:tc>
        <w:tc>
          <w:tcPr>
            <w:tcW w:w="398"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p>
        </w:tc>
        <w:tc>
          <w:tcPr>
            <w:tcW w:w="437" w:type="pct"/>
            <w:tcBorders>
              <w:top w:val="single" w:color="auto" w:sz="2" w:space="0"/>
              <w:left w:val="single" w:color="auto" w:sz="2" w:space="0"/>
              <w:bottom w:val="single" w:color="auto" w:sz="2" w:space="0"/>
              <w:right w:val="single" w:color="auto" w:sz="2" w:space="0"/>
            </w:tcBorders>
            <w:noWrap w:val="0"/>
            <w:vAlign w:val="center"/>
          </w:tcPr>
          <w:p>
            <w:pPr>
              <w:jc w:val="center"/>
              <w:rPr>
                <w:rFonts w:ascii="宋体" w:hAnsi="宋体"/>
              </w:rPr>
            </w:pPr>
            <w:r>
              <w:rPr>
                <w:rFonts w:hint="eastAsia" w:ascii="宋体" w:hAnsi="宋体"/>
              </w:rPr>
              <w:t>——</w:t>
            </w:r>
          </w:p>
        </w:tc>
      </w:tr>
    </w:tbl>
    <w:p>
      <w:pPr>
        <w:rPr>
          <w:rFonts w:hint="eastAsia" w:ascii="宋体" w:hAnsi="宋体" w:cs="宋体"/>
          <w:sz w:val="32"/>
          <w:szCs w:val="32"/>
        </w:rPr>
      </w:pPr>
    </w:p>
    <w:p>
      <w:pPr>
        <w:pStyle w:val="3"/>
        <w:ind w:firstLine="643" w:firstLineChars="200"/>
        <w:rPr>
          <w:rFonts w:hint="eastAsia"/>
          <w:sz w:val="32"/>
          <w:szCs w:val="32"/>
        </w:rPr>
      </w:pPr>
      <w:r>
        <w:rPr>
          <w:rFonts w:hint="eastAsia"/>
          <w:sz w:val="32"/>
          <w:szCs w:val="32"/>
        </w:rPr>
        <w:t>七、注意事项</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1.填报特别纳税调整自行缴纳税款表前，必须完成居民企业(查账征收)企业所得税年度申报，否则不能填报。</w:t>
      </w:r>
    </w:p>
    <w:p>
      <w:pPr>
        <w:pStyle w:val="3"/>
        <w:ind w:firstLine="643" w:firstLineChars="200"/>
        <w:rPr>
          <w:sz w:val="32"/>
          <w:szCs w:val="32"/>
        </w:rPr>
      </w:pPr>
      <w:r>
        <w:rPr>
          <w:rFonts w:hint="eastAsia"/>
          <w:sz w:val="32"/>
          <w:szCs w:val="32"/>
        </w:rPr>
        <w:t>八、常见问题</w:t>
      </w:r>
    </w:p>
    <w:p>
      <w:pPr>
        <w:pStyle w:val="2"/>
        <w:ind w:left="0" w:leftChars="0" w:firstLine="640" w:firstLineChars="200"/>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ongti SC">
    <w:altName w:val="宋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B123A3"/>
    <w:multiLevelType w:val="singleLevel"/>
    <w:tmpl w:val="A1B123A3"/>
    <w:lvl w:ilvl="0" w:tentative="0">
      <w:start w:val="3"/>
      <w:numFmt w:val="decimal"/>
      <w:suff w:val="space"/>
      <w:lvlText w:val="%1."/>
      <w:lvlJc w:val="left"/>
    </w:lvl>
  </w:abstractNum>
  <w:abstractNum w:abstractNumId="1">
    <w:nsid w:val="0DB53DC4"/>
    <w:multiLevelType w:val="singleLevel"/>
    <w:tmpl w:val="0DB53DC4"/>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471266"/>
    <w:rsid w:val="33C120FC"/>
    <w:rsid w:val="34253D03"/>
    <w:rsid w:val="3A631626"/>
    <w:rsid w:val="3E471266"/>
    <w:rsid w:val="4A4B3B33"/>
    <w:rsid w:val="584622A6"/>
    <w:rsid w:val="5E27378B"/>
    <w:rsid w:val="628D7F2F"/>
    <w:rsid w:val="79383B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qFormat/>
    <w:uiPriority w:val="0"/>
    <w:pPr>
      <w:keepNext/>
      <w:keepLines/>
      <w:spacing w:beforeLines="0" w:beforeAutospacing="0" w:afterLines="0" w:afterAutospacing="0" w:line="240" w:lineRule="auto"/>
      <w:outlineLvl w:val="1"/>
    </w:pPr>
    <w:rPr>
      <w:rFonts w:ascii="Arial" w:hAnsi="Arial" w:eastAsia="黑体"/>
      <w:b/>
      <w:sz w:val="28"/>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Normal Indent1"/>
    <w:qFormat/>
    <w:uiPriority w:val="0"/>
    <w:pPr>
      <w:spacing w:line="360" w:lineRule="auto"/>
      <w:ind w:firstLine="883" w:firstLineChars="200"/>
    </w:pPr>
    <w:rPr>
      <w:rFonts w:ascii="Songti SC" w:hAnsi="Songti SC" w:eastAsia="宋体" w:cs="Songti SC"/>
      <w:sz w:val="24"/>
      <w:szCs w:val="24"/>
      <w:lang w:val="en-US" w:eastAsia="zh-CN" w:bidi="ar-SA"/>
    </w:rPr>
  </w:style>
  <w:style w:type="paragraph" w:customStyle="1" w:styleId="6">
    <w:name w:val="表格列标题"/>
    <w:basedOn w:val="7"/>
    <w:qFormat/>
    <w:uiPriority w:val="0"/>
    <w:pPr>
      <w:jc w:val="center"/>
    </w:pPr>
    <w:rPr>
      <w:rFonts w:ascii="Arial" w:hAnsi="Arial" w:cs="Arial"/>
      <w:b/>
      <w:sz w:val="18"/>
    </w:rPr>
  </w:style>
  <w:style w:type="paragraph" w:customStyle="1" w:styleId="7">
    <w:name w:val="正文1"/>
    <w:qFormat/>
    <w:uiPriority w:val="0"/>
    <w:pPr>
      <w:widowControl w:val="0"/>
      <w:jc w:val="both"/>
    </w:pPr>
    <w:rPr>
      <w:rFonts w:ascii="Calibri" w:hAnsi="Calibri" w:eastAsia="宋体" w:cs="Times New Roman"/>
      <w:lang w:val="en-US" w:eastAsia="zh-CN" w:bidi="ar-SA"/>
    </w:rPr>
  </w:style>
  <w:style w:type="paragraph" w:customStyle="1" w:styleId="8">
    <w:name w:val="表格文字 居中"/>
    <w:basedOn w:val="9"/>
    <w:qFormat/>
    <w:uiPriority w:val="0"/>
    <w:pPr>
      <w:jc w:val="center"/>
    </w:pPr>
    <w:rPr>
      <w:rFonts w:ascii="Arial" w:hAnsi="Arial" w:cs="Arial"/>
      <w:sz w:val="18"/>
    </w:rPr>
  </w:style>
  <w:style w:type="paragraph" w:customStyle="1" w:styleId="9">
    <w:name w:val="正文_1"/>
    <w:qFormat/>
    <w:uiPriority w:val="0"/>
    <w:rPr>
      <w:rFonts w:ascii="Times New Roman" w:hAnsi="Times New Roman" w:eastAsia="Times New Roman" w:cs="Times New Roman"/>
      <w:sz w:val="24"/>
      <w:szCs w:val="24"/>
      <w:lang w:val="en-US" w:eastAsia="zh-CN" w:bidi="ar-SA"/>
    </w:rPr>
  </w:style>
  <w:style w:type="paragraph" w:customStyle="1" w:styleId="10">
    <w:name w:val="_Style 3"/>
    <w:basedOn w:val="1"/>
    <w:qFormat/>
    <w:uiPriority w:val="0"/>
    <w:pPr>
      <w:ind w:firstLine="420" w:firstLineChars="200"/>
    </w:pPr>
    <w:rPr>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2024-03-11T08:20:00Z</dcterms:created>
  <dc:creator>Administrator</dc:creator>
  <cp:lastModifiedBy>Administrator</cp:lastModifiedBy>
  <dcterms:modified xsi:type="dcterms:W3CDTF">2024-03-22T04:15:11Z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