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jc w:val="center"/>
        <w:rPr>
          <w:rFonts w:ascii="仿宋_GB2312" w:hAnsi="仿宋_GB2312" w:eastAsia="仿宋_GB2312" w:cs="仿宋_GB2312"/>
          <w:bCs/>
          <w:sz w:val="24"/>
        </w:rPr>
      </w:pPr>
      <w:r>
        <w:rPr>
          <w:rFonts w:hint="eastAsia" w:ascii="仿宋_GB2312" w:hAnsi="仿宋_GB2312" w:eastAsia="仿宋_GB2312" w:cs="仿宋_GB2312"/>
          <w:bCs/>
          <w:sz w:val="24"/>
          <w:highlight w:val="white"/>
        </w:rPr>
        <w:t>（适用于不进行资格预审的公开招标项目）</w:t>
      </w:r>
    </w:p>
    <w:p>
      <w:pPr>
        <w:rPr>
          <w:rFonts w:hint="eastAsia"/>
        </w:rPr>
      </w:pPr>
    </w:p>
    <w:p>
      <w:pPr>
        <w:rPr>
          <w:rFonts w:hint="eastAsia"/>
        </w:rPr>
      </w:pPr>
    </w:p>
    <w:p>
      <w:pPr>
        <w:spacing w:line="360" w:lineRule="auto"/>
        <w:ind w:firstLine="260" w:firstLineChars="50"/>
        <w:jc w:val="center"/>
        <w:rPr>
          <w:rFonts w:hint="eastAsia" w:ascii="仿宋_GB2312" w:hAnsi="仿宋_GB2312" w:eastAsia="仿宋_GB2312" w:cs="仿宋_GB2312"/>
          <w:b/>
          <w:sz w:val="52"/>
          <w:szCs w:val="52"/>
        </w:rPr>
      </w:pPr>
      <w:r>
        <w:rPr>
          <w:rFonts w:hint="eastAsia" w:ascii="仿宋_GB2312" w:hAnsi="仿宋_GB2312" w:eastAsia="仿宋_GB2312" w:cs="仿宋_GB2312"/>
          <w:b/>
          <w:sz w:val="52"/>
          <w:szCs w:val="52"/>
          <w:highlight w:val="white"/>
        </w:rPr>
        <w:t>辽宁省政府采购项目</w:t>
      </w:r>
    </w:p>
    <w:p>
      <w:pPr>
        <w:spacing w:line="360" w:lineRule="auto"/>
        <w:ind w:firstLine="120" w:firstLineChars="50"/>
        <w:jc w:val="center"/>
        <w:rPr>
          <w:rFonts w:hint="eastAsia" w:ascii="仿宋_GB2312" w:hAnsi="仿宋_GB2312" w:eastAsia="仿宋_GB2312" w:cs="仿宋_GB2312"/>
          <w:b/>
          <w:sz w:val="24"/>
          <w:szCs w:val="24"/>
        </w:rPr>
      </w:pPr>
    </w:p>
    <w:p>
      <w:pPr>
        <w:spacing w:line="360" w:lineRule="auto"/>
        <w:ind w:firstLine="240" w:firstLineChars="50"/>
        <w:jc w:val="center"/>
        <w:rPr>
          <w:rFonts w:hint="eastAsia" w:ascii="仿宋_GB2312" w:hAnsi="仿宋_GB2312" w:eastAsia="仿宋_GB2312" w:cs="仿宋_GB2312"/>
          <w:b/>
          <w:sz w:val="48"/>
          <w:szCs w:val="48"/>
        </w:rPr>
      </w:pPr>
      <w:r>
        <w:rPr>
          <w:rFonts w:hint="eastAsia" w:ascii="仿宋_GB2312" w:hAnsi="仿宋_GB2312" w:eastAsia="仿宋_GB2312" w:cs="仿宋_GB2312"/>
          <w:b/>
          <w:sz w:val="48"/>
          <w:szCs w:val="48"/>
          <w:highlight w:val="white"/>
        </w:rPr>
        <w:t>服务类公开招标</w:t>
      </w:r>
    </w:p>
    <w:p>
      <w:pPr>
        <w:spacing w:line="360" w:lineRule="auto"/>
        <w:ind w:firstLine="120" w:firstLineChars="50"/>
        <w:jc w:val="center"/>
        <w:rPr>
          <w:rFonts w:hint="eastAsia" w:ascii="仿宋_GB2312" w:hAnsi="仿宋_GB2312" w:eastAsia="仿宋_GB2312" w:cs="仿宋_GB2312"/>
          <w:b/>
          <w:sz w:val="24"/>
          <w:szCs w:val="24"/>
        </w:rPr>
      </w:pPr>
    </w:p>
    <w:p>
      <w:pPr>
        <w:spacing w:line="360" w:lineRule="auto"/>
        <w:ind w:firstLine="240" w:firstLineChars="50"/>
        <w:jc w:val="center"/>
        <w:rPr>
          <w:rFonts w:hint="eastAsia" w:ascii="仿宋_GB2312" w:hAnsi="仿宋_GB2312" w:eastAsia="仿宋_GB2312" w:cs="仿宋_GB2312"/>
          <w:b/>
          <w:sz w:val="48"/>
          <w:szCs w:val="48"/>
        </w:rPr>
      </w:pPr>
      <w:r>
        <w:rPr>
          <w:rFonts w:hint="eastAsia" w:ascii="仿宋_GB2312" w:hAnsi="仿宋_GB2312" w:eastAsia="仿宋_GB2312" w:cs="仿宋_GB2312"/>
          <w:b/>
          <w:sz w:val="48"/>
          <w:szCs w:val="48"/>
          <w:highlight w:val="white"/>
        </w:rPr>
        <w:t>招标文件</w:t>
      </w:r>
    </w:p>
    <w:p>
      <w:pPr>
        <w:spacing w:line="480" w:lineRule="exact"/>
        <w:jc w:val="center"/>
        <w:rPr>
          <w:rFonts w:hint="eastAsia" w:ascii="仿宋_GB2312" w:hAnsi="仿宋_GB2312" w:eastAsia="仿宋_GB2312" w:cs="仿宋_GB2312"/>
          <w:b/>
          <w:sz w:val="24"/>
          <w:szCs w:val="24"/>
        </w:rPr>
      </w:pPr>
    </w:p>
    <w:p>
      <w:pPr>
        <w:spacing w:line="480" w:lineRule="exact"/>
        <w:jc w:val="center"/>
        <w:rPr>
          <w:rFonts w:hint="eastAsia" w:ascii="仿宋_GB2312" w:hAnsi="仿宋_GB2312" w:eastAsia="仿宋_GB2312" w:cs="仿宋_GB2312"/>
          <w:b/>
          <w:sz w:val="24"/>
        </w:rPr>
      </w:pPr>
    </w:p>
    <w:p>
      <w:pPr>
        <w:spacing w:line="480" w:lineRule="exact"/>
        <w:rPr>
          <w:rFonts w:hint="eastAsia" w:ascii="仿宋_GB2312" w:hAnsi="仿宋_GB2312" w:eastAsia="仿宋_GB2312" w:cs="仿宋_GB2312"/>
          <w:b/>
          <w:sz w:val="24"/>
        </w:rPr>
      </w:pPr>
    </w:p>
    <w:p>
      <w:pPr>
        <w:spacing w:line="480" w:lineRule="exact"/>
        <w:jc w:val="center"/>
        <w:rPr>
          <w:rFonts w:hint="eastAsia" w:ascii="仿宋_GB2312" w:hAnsi="仿宋_GB2312" w:eastAsia="仿宋_GB2312" w:cs="仿宋_GB2312"/>
          <w:b/>
          <w:sz w:val="24"/>
        </w:rPr>
      </w:pPr>
    </w:p>
    <w:p>
      <w:pPr>
        <w:spacing w:line="360" w:lineRule="auto"/>
        <w:ind w:firstLine="846" w:firstLineChars="235"/>
        <w:rPr>
          <w:rFonts w:hint="eastAsia" w:ascii="仿宋_GB2312" w:hAnsi="仿宋_GB2312" w:eastAsia="仿宋_GB2312" w:cs="仿宋_GB2312"/>
          <w:b/>
          <w:sz w:val="36"/>
          <w:szCs w:val="36"/>
        </w:rPr>
      </w:pPr>
      <w:r>
        <w:rPr>
          <w:rFonts w:hint="eastAsia" w:ascii="仿宋_GB2312" w:hAnsi="仿宋_GB2312" w:eastAsia="仿宋_GB2312" w:cs="仿宋_GB2312"/>
          <w:b/>
          <w:sz w:val="36"/>
          <w:szCs w:val="36"/>
          <w:highlight w:val="white"/>
        </w:rPr>
        <w:t>项目名称：</w:t>
      </w:r>
      <w:bookmarkStart w:id="0" w:name="EB8bdcddfccf4240f8a9f1941e6b36934f"/>
      <w:r>
        <w:rPr>
          <w:rFonts w:hint="eastAsia" w:ascii="仿宋_GB2312" w:hAnsi="仿宋_GB2312" w:eastAsia="仿宋_GB2312" w:cs="仿宋_GB2312"/>
          <w:b/>
          <w:color w:val="0000FF"/>
          <w:sz w:val="36"/>
          <w:szCs w:val="36"/>
          <w:highlight w:val="white"/>
        </w:rPr>
        <w:t>国家税务总局辽宁省税务局2024年辽宁省电子税务局升级改造项目</w:t>
      </w:r>
      <w:bookmarkEnd w:id="0"/>
    </w:p>
    <w:p>
      <w:pPr>
        <w:spacing w:line="360" w:lineRule="auto"/>
        <w:ind w:firstLine="846" w:firstLineChars="235"/>
        <w:rPr>
          <w:rFonts w:hint="eastAsia" w:ascii="仿宋_GB2312" w:hAnsi="仿宋_GB2312" w:eastAsia="仿宋_GB2312" w:cs="仿宋_GB2312"/>
          <w:b/>
          <w:sz w:val="36"/>
          <w:szCs w:val="36"/>
        </w:rPr>
      </w:pPr>
      <w:r>
        <w:rPr>
          <w:rFonts w:hint="eastAsia" w:ascii="仿宋_GB2312" w:hAnsi="仿宋_GB2312" w:eastAsia="仿宋_GB2312" w:cs="仿宋_GB2312"/>
          <w:b/>
          <w:sz w:val="36"/>
          <w:szCs w:val="36"/>
          <w:highlight w:val="white"/>
        </w:rPr>
        <w:t>项目编号：</w:t>
      </w:r>
      <w:bookmarkStart w:id="1" w:name="EBb4ab083272e647eabb7b228c05498a90"/>
      <w:r>
        <w:rPr>
          <w:rFonts w:hint="eastAsia" w:ascii="仿宋_GB2312" w:hAnsi="仿宋_GB2312" w:eastAsia="仿宋_GB2312" w:cs="仿宋_GB2312"/>
          <w:b/>
          <w:color w:val="0000FF"/>
          <w:sz w:val="36"/>
          <w:szCs w:val="36"/>
          <w:highlight w:val="white"/>
        </w:rPr>
        <w:t>LNZC2024-0364</w:t>
      </w:r>
      <w:bookmarkEnd w:id="1"/>
    </w:p>
    <w:p>
      <w:pPr>
        <w:spacing w:line="360" w:lineRule="auto"/>
        <w:ind w:firstLine="846" w:firstLineChars="235"/>
        <w:rPr>
          <w:rFonts w:ascii="仿宋_GB2312" w:hAnsi="仿宋_GB2312" w:eastAsia="仿宋_GB2312" w:cs="仿宋_GB2312"/>
          <w:b/>
          <w:sz w:val="36"/>
          <w:szCs w:val="36"/>
        </w:rPr>
      </w:pPr>
      <w:r>
        <w:rPr>
          <w:rFonts w:hint="eastAsia" w:ascii="仿宋_GB2312" w:hAnsi="仿宋_GB2312" w:eastAsia="仿宋_GB2312" w:cs="仿宋_GB2312"/>
          <w:b/>
          <w:sz w:val="36"/>
          <w:szCs w:val="36"/>
          <w:highlight w:val="white"/>
        </w:rPr>
        <w:t>编制单位：</w:t>
      </w:r>
      <w:r>
        <w:rPr>
          <w:rFonts w:ascii="仿宋_GB2312" w:hAnsi="仿宋_GB2312" w:eastAsia="仿宋_GB2312" w:cs="仿宋_GB2312"/>
          <w:b/>
          <w:sz w:val="36"/>
          <w:szCs w:val="36"/>
          <w:highlight w:val="white"/>
        </w:rPr>
        <w:t>辽宁省公共资源交易中心(辽宁省政府采购中心)</w:t>
      </w:r>
    </w:p>
    <w:p>
      <w:pPr>
        <w:rPr>
          <w:rFonts w:hint="eastAsia"/>
          <w:highlight w:val="cyan"/>
        </w:rPr>
      </w:pPr>
      <w:bookmarkStart w:id="2" w:name="EB7a333a9d1e4247bda941fb4e5cb7d63a"/>
      <w:bookmarkEnd w:id="2"/>
    </w:p>
    <w:p>
      <w:pPr>
        <w:rPr>
          <w:rFonts w:hint="eastAsia"/>
          <w:color w:val="000080"/>
          <w:sz w:val="20"/>
          <w:highlight w:val="magenta"/>
        </w:rPr>
      </w:pPr>
      <w:bookmarkStart w:id="3" w:name="EBb624b0b73ed34a2a92c9cb8ca67b8d8a"/>
      <w:bookmarkEnd w:id="3"/>
    </w:p>
    <w:p>
      <w:pPr>
        <w:rPr>
          <w:rFonts w:hint="eastAsia"/>
          <w:color w:val="000080"/>
          <w:sz w:val="20"/>
          <w:highlight w:val="magenta"/>
        </w:rPr>
      </w:pPr>
      <w:bookmarkStart w:id="4" w:name="EB7623407532ac4248864bd9fff166366e"/>
      <w:bookmarkEnd w:id="4"/>
    </w:p>
    <w:p>
      <w:pPr>
        <w:rPr>
          <w:highlight w:val="magenta"/>
        </w:rPr>
      </w:pPr>
      <w:bookmarkStart w:id="5" w:name="EB815c8cb908484835aef0386d44562488"/>
      <w:bookmarkEnd w:id="5"/>
    </w:p>
    <w:p>
      <w:pPr>
        <w:rPr>
          <w:rFonts w:hint="eastAsia"/>
          <w:highlight w:val="magenta"/>
        </w:rPr>
      </w:pPr>
      <w:bookmarkStart w:id="6" w:name="EB2f772bb822704409aded3f4550d5c441"/>
      <w:bookmarkEnd w:id="6"/>
    </w:p>
    <w:p>
      <w:pPr>
        <w:keepNext/>
        <w:keepLines/>
        <w:pageBreakBefore/>
        <w:jc w:val="center"/>
        <w:rPr>
          <w:rFonts w:ascii="仿宋_GB2312" w:hAnsi="仿宋_GB2312" w:eastAsia="仿宋_GB2312" w:cs="仿宋_GB2312"/>
          <w:b/>
          <w:bCs/>
          <w:sz w:val="44"/>
          <w:szCs w:val="44"/>
        </w:rPr>
      </w:pPr>
      <w:r>
        <w:rPr>
          <w:rFonts w:hint="eastAsia" w:ascii="仿宋_GB2312" w:hAnsi="仿宋_GB2312" w:eastAsia="仿宋_GB2312" w:cs="仿宋_GB2312"/>
          <w:b/>
          <w:bCs/>
          <w:sz w:val="44"/>
          <w:szCs w:val="44"/>
          <w:highlight w:val="white"/>
        </w:rPr>
        <w:t>目  录</w:t>
      </w:r>
    </w:p>
    <w:p>
      <w:pPr>
        <w:jc w:val="center"/>
        <w:rPr>
          <w:rFonts w:ascii="仿宋_GB2312" w:hAnsi="仿宋_GB2312" w:eastAsia="仿宋_GB2312" w:cs="仿宋_GB2312"/>
          <w:b/>
          <w:bCs/>
          <w:sz w:val="44"/>
          <w:szCs w:val="44"/>
        </w:rPr>
      </w:pPr>
    </w:p>
    <w:p>
      <w:pPr>
        <w:pStyle w:val="16"/>
        <w:tabs>
          <w:tab w:val="right" w:leader="dot" w:pos="8290"/>
        </w:tabs>
        <w:rPr>
          <w:rFonts w:ascii="Calibri" w:hAnsi="Calibri"/>
          <w:sz w:val="22"/>
        </w:rPr>
      </w:pPr>
      <w:r>
        <w:rPr>
          <w:b/>
          <w:bCs/>
          <w:sz w:val="24"/>
        </w:rPr>
        <w:fldChar w:fldCharType="begin"/>
      </w:r>
      <w:r>
        <w:rPr>
          <w:b/>
          <w:bCs/>
          <w:sz w:val="24"/>
          <w:highlight w:val="white"/>
        </w:rPr>
        <w:instrText xml:space="preserve">TOC \o "1-1" \h \u </w:instrText>
      </w:r>
      <w:r>
        <w:rPr>
          <w:b/>
          <w:bCs/>
          <w:sz w:val="24"/>
        </w:rPr>
        <w:fldChar w:fldCharType="separate"/>
      </w:r>
      <w:r>
        <w:fldChar w:fldCharType="begin"/>
      </w:r>
      <w:r>
        <w:instrText xml:space="preserve"> HYPERLINK \l "_Toc256000000" </w:instrText>
      </w:r>
      <w:r>
        <w:fldChar w:fldCharType="separate"/>
      </w:r>
      <w:r>
        <w:rPr>
          <w:rStyle w:val="24"/>
          <w:rFonts w:hint="eastAsia" w:ascii="仿宋_GB2312" w:hAnsi="仿宋_GB2312" w:eastAsia="仿宋_GB2312" w:cs="仿宋_GB2312"/>
          <w:highlight w:val="white"/>
        </w:rPr>
        <w:t>第一章 投标人须知</w:t>
      </w:r>
      <w:r>
        <w:tab/>
      </w:r>
      <w:r>
        <w:fldChar w:fldCharType="begin"/>
      </w:r>
      <w:r>
        <w:instrText xml:space="preserve"> PAGEREF _Toc256000000 \h </w:instrText>
      </w:r>
      <w:r>
        <w:fldChar w:fldCharType="separate"/>
      </w:r>
      <w:r>
        <w:t>3</w:t>
      </w:r>
      <w:r>
        <w:fldChar w:fldCharType="end"/>
      </w:r>
      <w:r>
        <w:fldChar w:fldCharType="end"/>
      </w:r>
    </w:p>
    <w:p>
      <w:pPr>
        <w:pStyle w:val="16"/>
        <w:tabs>
          <w:tab w:val="right" w:leader="dot" w:pos="8290"/>
        </w:tabs>
        <w:rPr>
          <w:rFonts w:ascii="Calibri" w:hAnsi="Calibri"/>
          <w:sz w:val="22"/>
        </w:rPr>
      </w:pPr>
      <w:r>
        <w:fldChar w:fldCharType="begin"/>
      </w:r>
      <w:r>
        <w:instrText xml:space="preserve"> HYPERLINK \l "_Toc256000001" </w:instrText>
      </w:r>
      <w:r>
        <w:fldChar w:fldCharType="separate"/>
      </w:r>
      <w:r>
        <w:rPr>
          <w:rStyle w:val="24"/>
          <w:rFonts w:hint="eastAsia" w:ascii="仿宋_GB2312" w:hAnsi="仿宋_GB2312" w:eastAsia="仿宋_GB2312" w:cs="仿宋_GB2312"/>
          <w:highlight w:val="white"/>
        </w:rPr>
        <w:t>第二章 投标文件内容及格式</w:t>
      </w:r>
      <w:r>
        <w:tab/>
      </w:r>
      <w:r>
        <w:fldChar w:fldCharType="begin"/>
      </w:r>
      <w:r>
        <w:instrText xml:space="preserve"> PAGEREF _Toc256000001 \h </w:instrText>
      </w:r>
      <w:r>
        <w:fldChar w:fldCharType="separate"/>
      </w:r>
      <w:r>
        <w:t>18</w:t>
      </w:r>
      <w:r>
        <w:fldChar w:fldCharType="end"/>
      </w:r>
      <w:r>
        <w:fldChar w:fldCharType="end"/>
      </w:r>
    </w:p>
    <w:p>
      <w:pPr>
        <w:pStyle w:val="16"/>
        <w:tabs>
          <w:tab w:val="right" w:leader="dot" w:pos="8290"/>
        </w:tabs>
        <w:rPr>
          <w:rFonts w:ascii="Calibri" w:hAnsi="Calibri"/>
          <w:sz w:val="22"/>
        </w:rPr>
      </w:pPr>
      <w:r>
        <w:fldChar w:fldCharType="begin"/>
      </w:r>
      <w:r>
        <w:instrText xml:space="preserve"> HYPERLINK \l "_Toc256000002" </w:instrText>
      </w:r>
      <w:r>
        <w:fldChar w:fldCharType="separate"/>
      </w:r>
      <w:r>
        <w:rPr>
          <w:rStyle w:val="24"/>
          <w:rFonts w:hint="eastAsia" w:ascii="仿宋_GB2312" w:hAnsi="仿宋_GB2312" w:eastAsia="仿宋_GB2312" w:cs="仿宋_GB2312"/>
          <w:highlight w:val="white"/>
        </w:rPr>
        <w:t>第三章 服务需求</w:t>
      </w:r>
      <w:r>
        <w:tab/>
      </w:r>
      <w:r>
        <w:fldChar w:fldCharType="begin"/>
      </w:r>
      <w:r>
        <w:instrText xml:space="preserve"> PAGEREF _Toc256000002 \h </w:instrText>
      </w:r>
      <w:r>
        <w:fldChar w:fldCharType="separate"/>
      </w:r>
      <w:r>
        <w:t>48</w:t>
      </w:r>
      <w:r>
        <w:fldChar w:fldCharType="end"/>
      </w:r>
      <w:r>
        <w:fldChar w:fldCharType="end"/>
      </w:r>
    </w:p>
    <w:p>
      <w:pPr>
        <w:pStyle w:val="16"/>
        <w:tabs>
          <w:tab w:val="right" w:leader="dot" w:pos="8290"/>
        </w:tabs>
        <w:rPr>
          <w:rFonts w:ascii="Calibri" w:hAnsi="Calibri"/>
          <w:sz w:val="22"/>
        </w:rPr>
      </w:pPr>
      <w:r>
        <w:fldChar w:fldCharType="begin"/>
      </w:r>
      <w:r>
        <w:instrText xml:space="preserve"> HYPERLINK \l "_Toc256000003" </w:instrText>
      </w:r>
      <w:r>
        <w:fldChar w:fldCharType="separate"/>
      </w:r>
      <w:r>
        <w:rPr>
          <w:rStyle w:val="24"/>
          <w:rFonts w:hint="eastAsia" w:ascii="仿宋_GB2312" w:hAnsi="仿宋_GB2312" w:eastAsia="仿宋_GB2312" w:cs="仿宋_GB2312"/>
        </w:rPr>
        <w:t>一、项目概述</w:t>
      </w:r>
      <w:r>
        <w:tab/>
      </w:r>
      <w:r>
        <w:fldChar w:fldCharType="begin"/>
      </w:r>
      <w:r>
        <w:instrText xml:space="preserve"> PAGEREF _Toc256000003 \h </w:instrText>
      </w:r>
      <w:r>
        <w:fldChar w:fldCharType="separate"/>
      </w:r>
      <w:r>
        <w:t>54</w:t>
      </w:r>
      <w:r>
        <w:fldChar w:fldCharType="end"/>
      </w:r>
      <w:r>
        <w:fldChar w:fldCharType="end"/>
      </w:r>
    </w:p>
    <w:p>
      <w:pPr>
        <w:pStyle w:val="16"/>
        <w:tabs>
          <w:tab w:val="right" w:leader="dot" w:pos="8290"/>
        </w:tabs>
        <w:rPr>
          <w:rFonts w:ascii="Calibri" w:hAnsi="Calibri"/>
          <w:sz w:val="22"/>
        </w:rPr>
      </w:pPr>
      <w:r>
        <w:fldChar w:fldCharType="begin"/>
      </w:r>
      <w:r>
        <w:instrText xml:space="preserve"> HYPERLINK \l "_Toc256000004" </w:instrText>
      </w:r>
      <w:r>
        <w:fldChar w:fldCharType="separate"/>
      </w:r>
      <w:r>
        <w:rPr>
          <w:rStyle w:val="24"/>
          <w:rFonts w:hint="eastAsia" w:ascii="仿宋_GB2312" w:hAnsi="仿宋_GB2312" w:eastAsia="仿宋_GB2312" w:cs="仿宋_GB2312"/>
        </w:rPr>
        <w:t>1.1.项目背景</w:t>
      </w:r>
      <w:r>
        <w:tab/>
      </w:r>
      <w:r>
        <w:fldChar w:fldCharType="begin"/>
      </w:r>
      <w:r>
        <w:instrText xml:space="preserve"> PAGEREF _Toc256000004 \h </w:instrText>
      </w:r>
      <w:r>
        <w:fldChar w:fldCharType="separate"/>
      </w:r>
      <w:r>
        <w:t>54</w:t>
      </w:r>
      <w:r>
        <w:fldChar w:fldCharType="end"/>
      </w:r>
      <w:r>
        <w:fldChar w:fldCharType="end"/>
      </w:r>
    </w:p>
    <w:p>
      <w:pPr>
        <w:pStyle w:val="16"/>
        <w:tabs>
          <w:tab w:val="right" w:leader="dot" w:pos="8290"/>
        </w:tabs>
        <w:rPr>
          <w:rFonts w:ascii="Calibri" w:hAnsi="Calibri"/>
          <w:sz w:val="22"/>
        </w:rPr>
      </w:pPr>
      <w:r>
        <w:fldChar w:fldCharType="begin"/>
      </w:r>
      <w:r>
        <w:instrText xml:space="preserve"> HYPERLINK \l "_Toc256000005" </w:instrText>
      </w:r>
      <w:r>
        <w:fldChar w:fldCharType="separate"/>
      </w:r>
      <w:r>
        <w:rPr>
          <w:rStyle w:val="24"/>
          <w:rFonts w:hint="eastAsia" w:ascii="仿宋_GB2312" w:hAnsi="仿宋_GB2312" w:eastAsia="仿宋_GB2312" w:cs="仿宋_GB2312"/>
        </w:rPr>
        <w:t>二、投标/响应要求</w:t>
      </w:r>
      <w:r>
        <w:tab/>
      </w:r>
      <w:r>
        <w:fldChar w:fldCharType="begin"/>
      </w:r>
      <w:r>
        <w:instrText xml:space="preserve"> PAGEREF _Toc256000005 \h </w:instrText>
      </w:r>
      <w:r>
        <w:fldChar w:fldCharType="separate"/>
      </w:r>
      <w:r>
        <w:t>56</w:t>
      </w:r>
      <w:r>
        <w:fldChar w:fldCharType="end"/>
      </w:r>
      <w:r>
        <w:fldChar w:fldCharType="end"/>
      </w:r>
    </w:p>
    <w:p>
      <w:pPr>
        <w:pStyle w:val="16"/>
        <w:tabs>
          <w:tab w:val="right" w:leader="dot" w:pos="8290"/>
        </w:tabs>
        <w:rPr>
          <w:rFonts w:ascii="Calibri" w:hAnsi="Calibri"/>
          <w:sz w:val="22"/>
        </w:rPr>
      </w:pPr>
      <w:r>
        <w:fldChar w:fldCharType="begin"/>
      </w:r>
      <w:r>
        <w:instrText xml:space="preserve"> HYPERLINK \l "_Toc256000006" </w:instrText>
      </w:r>
      <w:r>
        <w:fldChar w:fldCharType="separate"/>
      </w:r>
      <w:r>
        <w:rPr>
          <w:rStyle w:val="24"/>
          <w:rFonts w:hint="eastAsia" w:ascii="仿宋_GB2312" w:hAnsi="仿宋_GB2312" w:eastAsia="仿宋_GB2312" w:cs="仿宋_GB2312"/>
        </w:rPr>
        <w:t>三、★项目需求</w:t>
      </w:r>
      <w:r>
        <w:tab/>
      </w:r>
      <w:r>
        <w:fldChar w:fldCharType="begin"/>
      </w:r>
      <w:r>
        <w:instrText xml:space="preserve"> PAGEREF _Toc256000006 \h </w:instrText>
      </w:r>
      <w:r>
        <w:fldChar w:fldCharType="separate"/>
      </w:r>
      <w:r>
        <w:t>58</w:t>
      </w:r>
      <w:r>
        <w:fldChar w:fldCharType="end"/>
      </w:r>
      <w:r>
        <w:fldChar w:fldCharType="end"/>
      </w:r>
    </w:p>
    <w:p>
      <w:pPr>
        <w:pStyle w:val="16"/>
        <w:tabs>
          <w:tab w:val="right" w:leader="dot" w:pos="8290"/>
        </w:tabs>
        <w:rPr>
          <w:rFonts w:ascii="Calibri" w:hAnsi="Calibri"/>
          <w:sz w:val="22"/>
        </w:rPr>
      </w:pPr>
      <w:r>
        <w:fldChar w:fldCharType="begin"/>
      </w:r>
      <w:r>
        <w:instrText xml:space="preserve"> HYPERLINK \l "_Toc256000007" </w:instrText>
      </w:r>
      <w:r>
        <w:fldChar w:fldCharType="separate"/>
      </w:r>
      <w:r>
        <w:rPr>
          <w:rStyle w:val="24"/>
          <w:rFonts w:hint="eastAsia" w:ascii="仿宋_GB2312" w:hAnsi="仿宋_GB2312" w:eastAsia="仿宋_GB2312" w:cs="仿宋_GB2312"/>
        </w:rPr>
        <w:t>四、项目实施要求</w:t>
      </w:r>
      <w:r>
        <w:tab/>
      </w:r>
      <w:r>
        <w:fldChar w:fldCharType="begin"/>
      </w:r>
      <w:r>
        <w:instrText xml:space="preserve"> PAGEREF _Toc256000007 \h </w:instrText>
      </w:r>
      <w:r>
        <w:fldChar w:fldCharType="separate"/>
      </w:r>
      <w:r>
        <w:t>159</w:t>
      </w:r>
      <w:r>
        <w:fldChar w:fldCharType="end"/>
      </w:r>
      <w:r>
        <w:fldChar w:fldCharType="end"/>
      </w:r>
    </w:p>
    <w:p>
      <w:pPr>
        <w:pStyle w:val="16"/>
        <w:tabs>
          <w:tab w:val="right" w:leader="dot" w:pos="8290"/>
        </w:tabs>
        <w:rPr>
          <w:rFonts w:ascii="Calibri" w:hAnsi="Calibri"/>
          <w:sz w:val="22"/>
        </w:rPr>
      </w:pPr>
      <w:r>
        <w:fldChar w:fldCharType="begin"/>
      </w:r>
      <w:r>
        <w:instrText xml:space="preserve"> HYPERLINK \l "_Toc256000008" </w:instrText>
      </w:r>
      <w:r>
        <w:fldChar w:fldCharType="separate"/>
      </w:r>
      <w:r>
        <w:rPr>
          <w:rStyle w:val="24"/>
          <w:rFonts w:hint="eastAsia" w:ascii="仿宋_GB2312" w:hAnsi="仿宋_GB2312" w:eastAsia="仿宋_GB2312" w:cs="仿宋_GB2312"/>
        </w:rPr>
        <w:t>五、项目技术支持服务要求</w:t>
      </w:r>
      <w:r>
        <w:tab/>
      </w:r>
      <w:r>
        <w:fldChar w:fldCharType="begin"/>
      </w:r>
      <w:r>
        <w:instrText xml:space="preserve"> PAGEREF _Toc256000008 \h </w:instrText>
      </w:r>
      <w:r>
        <w:fldChar w:fldCharType="separate"/>
      </w:r>
      <w:r>
        <w:t>161</w:t>
      </w:r>
      <w:r>
        <w:fldChar w:fldCharType="end"/>
      </w:r>
      <w:r>
        <w:fldChar w:fldCharType="end"/>
      </w:r>
    </w:p>
    <w:p>
      <w:pPr>
        <w:pStyle w:val="16"/>
        <w:tabs>
          <w:tab w:val="right" w:leader="dot" w:pos="8290"/>
        </w:tabs>
        <w:rPr>
          <w:rFonts w:ascii="Calibri" w:hAnsi="Calibri"/>
          <w:sz w:val="22"/>
        </w:rPr>
      </w:pPr>
      <w:r>
        <w:fldChar w:fldCharType="begin"/>
      </w:r>
      <w:r>
        <w:instrText xml:space="preserve"> HYPERLINK \l "_Toc256000009" </w:instrText>
      </w:r>
      <w:r>
        <w:fldChar w:fldCharType="separate"/>
      </w:r>
      <w:r>
        <w:rPr>
          <w:rStyle w:val="24"/>
          <w:rFonts w:hint="eastAsia" w:ascii="仿宋_GB2312" w:hAnsi="仿宋_GB2312" w:eastAsia="仿宋_GB2312" w:cs="仿宋_GB2312"/>
        </w:rPr>
        <w:t>六、其他要求</w:t>
      </w:r>
      <w:r>
        <w:tab/>
      </w:r>
      <w:r>
        <w:fldChar w:fldCharType="begin"/>
      </w:r>
      <w:r>
        <w:instrText xml:space="preserve"> PAGEREF _Toc256000009 \h </w:instrText>
      </w:r>
      <w:r>
        <w:fldChar w:fldCharType="separate"/>
      </w:r>
      <w:r>
        <w:t>163</w:t>
      </w:r>
      <w:r>
        <w:fldChar w:fldCharType="end"/>
      </w:r>
      <w:r>
        <w:fldChar w:fldCharType="end"/>
      </w:r>
    </w:p>
    <w:p>
      <w:pPr>
        <w:pStyle w:val="16"/>
        <w:tabs>
          <w:tab w:val="right" w:leader="dot" w:pos="8290"/>
        </w:tabs>
        <w:rPr>
          <w:rFonts w:ascii="Calibri" w:hAnsi="Calibri"/>
          <w:sz w:val="22"/>
        </w:rPr>
      </w:pPr>
      <w:r>
        <w:fldChar w:fldCharType="begin"/>
      </w:r>
      <w:r>
        <w:instrText xml:space="preserve"> HYPERLINK \l "_Toc256000010" </w:instrText>
      </w:r>
      <w:r>
        <w:fldChar w:fldCharType="separate"/>
      </w:r>
      <w:r>
        <w:rPr>
          <w:rStyle w:val="24"/>
          <w:rFonts w:hint="eastAsia" w:ascii="仿宋_GB2312" w:hAnsi="仿宋_GB2312" w:eastAsia="仿宋_GB2312" w:cs="仿宋_GB2312"/>
          <w:highlight w:val="white"/>
        </w:rPr>
        <w:t>第四章 评标方法</w:t>
      </w:r>
      <w:r>
        <w:tab/>
      </w:r>
      <w:r>
        <w:fldChar w:fldCharType="begin"/>
      </w:r>
      <w:r>
        <w:instrText xml:space="preserve"> PAGEREF _Toc256000010 \h </w:instrText>
      </w:r>
      <w:r>
        <w:fldChar w:fldCharType="separate"/>
      </w:r>
      <w:r>
        <w:t>167</w:t>
      </w:r>
      <w:r>
        <w:fldChar w:fldCharType="end"/>
      </w:r>
      <w:r>
        <w:fldChar w:fldCharType="end"/>
      </w:r>
    </w:p>
    <w:p>
      <w:pPr>
        <w:pStyle w:val="16"/>
        <w:tabs>
          <w:tab w:val="right" w:leader="dot" w:pos="8290"/>
        </w:tabs>
        <w:rPr>
          <w:rFonts w:ascii="Calibri" w:hAnsi="Calibri"/>
          <w:sz w:val="22"/>
        </w:rPr>
      </w:pPr>
      <w:r>
        <w:fldChar w:fldCharType="begin"/>
      </w:r>
      <w:r>
        <w:instrText xml:space="preserve"> HYPERLINK \l "_Toc256000011" </w:instrText>
      </w:r>
      <w:r>
        <w:fldChar w:fldCharType="separate"/>
      </w:r>
      <w:r>
        <w:rPr>
          <w:rStyle w:val="24"/>
          <w:rFonts w:hint="eastAsia" w:ascii="仿宋_GB2312" w:hAnsi="仿宋_GB2312" w:eastAsia="仿宋_GB2312" w:cs="仿宋_GB2312"/>
          <w:highlight w:val="white"/>
        </w:rPr>
        <w:t>第五章 政府采购合同条款及格式</w:t>
      </w:r>
      <w:r>
        <w:tab/>
      </w:r>
      <w:r>
        <w:fldChar w:fldCharType="begin"/>
      </w:r>
      <w:r>
        <w:instrText xml:space="preserve"> PAGEREF _Toc256000011 \h </w:instrText>
      </w:r>
      <w:r>
        <w:fldChar w:fldCharType="separate"/>
      </w:r>
      <w:r>
        <w:t>208</w:t>
      </w:r>
      <w:r>
        <w:fldChar w:fldCharType="end"/>
      </w:r>
      <w:r>
        <w:fldChar w:fldCharType="end"/>
      </w:r>
    </w:p>
    <w:p>
      <w:r>
        <w:fldChar w:fldCharType="end"/>
      </w:r>
      <w:bookmarkStart w:id="7" w:name="EB4699f1fbd67d4c66a142d1eac9e74c38"/>
      <w:bookmarkEnd w:id="7"/>
    </w:p>
    <w:p>
      <w:pPr>
        <w:pStyle w:val="2"/>
        <w:pageBreakBefore/>
        <w:snapToGrid w:val="0"/>
        <w:spacing w:before="319" w:beforeLines="100" w:after="319" w:afterLines="100" w:line="360" w:lineRule="auto"/>
        <w:rPr>
          <w:rFonts w:hint="eastAsia" w:ascii="仿宋_GB2312" w:hAnsi="仿宋_GB2312" w:eastAsia="仿宋_GB2312" w:cs="仿宋_GB2312"/>
          <w:lang w:eastAsia="zh-CN"/>
        </w:rPr>
      </w:pPr>
      <w:bookmarkStart w:id="8" w:name="_Toc256000000"/>
      <w:r>
        <w:rPr>
          <w:rFonts w:hint="eastAsia" w:ascii="仿宋_GB2312" w:hAnsi="仿宋_GB2312" w:eastAsia="仿宋_GB2312" w:cs="仿宋_GB2312"/>
          <w:highlight w:val="white"/>
        </w:rPr>
        <w:t>第一章 投标人须知</w:t>
      </w:r>
      <w:bookmarkEnd w:id="8"/>
    </w:p>
    <w:p>
      <w:pPr>
        <w:rPr>
          <w:rFonts w:hint="eastAsia"/>
          <w:color w:val="000080"/>
          <w:sz w:val="20"/>
          <w:highlight w:val="yellow"/>
        </w:rPr>
      </w:pPr>
      <w:bookmarkStart w:id="9" w:name="EB5bb3b44e21504f89af030a08e270fd50"/>
      <w:bookmarkEnd w:id="9"/>
    </w:p>
    <w:p>
      <w:pPr>
        <w:rPr>
          <w:highlight w:val="cyan"/>
        </w:rPr>
      </w:pPr>
      <w:bookmarkStart w:id="10" w:name="EBd253279be6864352bc5307644f26559a"/>
      <w:bookmarkEnd w:id="10"/>
    </w:p>
    <w:p>
      <w:pPr>
        <w:jc w:val="center"/>
        <w:rPr>
          <w:rFonts w:ascii="仿宋" w:hAnsi="仿宋" w:eastAsia="仿宋"/>
          <w:b/>
          <w:sz w:val="32"/>
          <w:szCs w:val="32"/>
        </w:rPr>
      </w:pPr>
      <w:r>
        <w:rPr>
          <w:rFonts w:hint="eastAsia" w:ascii="仿宋" w:hAnsi="仿宋" w:eastAsia="仿宋"/>
          <w:b/>
          <w:sz w:val="32"/>
          <w:szCs w:val="32"/>
          <w:highlight w:val="white"/>
        </w:rPr>
        <w:t>一 投标人须知表</w:t>
      </w:r>
    </w:p>
    <w:tbl>
      <w:tblPr>
        <w:tblStyle w:val="20"/>
        <w:tblW w:w="9039" w:type="dxa"/>
        <w:tblInd w:w="0" w:type="dxa"/>
        <w:tblLayout w:type="fixed"/>
        <w:tblCellMar>
          <w:top w:w="0" w:type="dxa"/>
          <w:left w:w="108" w:type="dxa"/>
          <w:bottom w:w="0" w:type="dxa"/>
          <w:right w:w="108" w:type="dxa"/>
        </w:tblCellMar>
      </w:tblPr>
      <w:tblGrid>
        <w:gridCol w:w="761"/>
        <w:gridCol w:w="1714"/>
        <w:gridCol w:w="6564"/>
      </w:tblGrid>
      <w:tr>
        <w:tblPrEx>
          <w:tblCellMar>
            <w:top w:w="0" w:type="dxa"/>
            <w:left w:w="108" w:type="dxa"/>
            <w:bottom w:w="0" w:type="dxa"/>
            <w:right w:w="108" w:type="dxa"/>
          </w:tblCellMar>
        </w:tblPrEx>
        <w:trPr>
          <w:trHeight w:val="556" w:hRule="atLeast"/>
          <w:tblHeader/>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ind w:left="-69" w:leftChars="-33" w:right="-69" w:rightChars="-33"/>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条款号</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项   目</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内     容</w:t>
            </w:r>
          </w:p>
        </w:tc>
      </w:tr>
      <w:tr>
        <w:tblPrEx>
          <w:tblCellMar>
            <w:top w:w="0" w:type="dxa"/>
            <w:left w:w="108" w:type="dxa"/>
            <w:bottom w:w="0" w:type="dxa"/>
            <w:right w:w="108" w:type="dxa"/>
          </w:tblCellMar>
        </w:tblPrEx>
        <w:trPr>
          <w:trHeight w:val="1254"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1.1</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采购人</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widowControl/>
              <w:rPr>
                <w:rFonts w:ascii="仿宋_GB2312" w:hAnsi="仿宋_GB2312" w:eastAsia="仿宋_GB2312" w:cs="仿宋_GB2312"/>
                <w:kern w:val="0"/>
                <w:szCs w:val="21"/>
                <w:u w:val="single"/>
              </w:rPr>
            </w:pPr>
            <w:r>
              <w:rPr>
                <w:rFonts w:hint="eastAsia" w:ascii="仿宋_GB2312" w:hAnsi="仿宋_GB2312" w:eastAsia="仿宋_GB2312" w:cs="仿宋_GB2312"/>
                <w:kern w:val="0"/>
                <w:szCs w:val="21"/>
                <w:highlight w:val="white"/>
              </w:rPr>
              <w:t>名  称：</w:t>
            </w:r>
            <w:bookmarkStart w:id="11" w:name="EB70a2d1609aec473da1c78d45a55d2de6"/>
            <w:r>
              <w:rPr>
                <w:rFonts w:ascii="仿宋_GB2312" w:hAnsi="仿宋_GB2312" w:eastAsia="仿宋_GB2312" w:cs="仿宋_GB2312"/>
                <w:color w:val="0000FF"/>
                <w:kern w:val="0"/>
                <w:szCs w:val="21"/>
                <w:highlight w:val="white"/>
                <w:u w:val="single"/>
              </w:rPr>
              <w:t>国家税务总局辽宁省税务局</w:t>
            </w:r>
            <w:bookmarkEnd w:id="11"/>
          </w:p>
          <w:p>
            <w:pPr>
              <w:widowControl/>
              <w:rPr>
                <w:rFonts w:ascii="仿宋_GB2312" w:hAnsi="仿宋_GB2312" w:eastAsia="仿宋_GB2312" w:cs="仿宋_GB2312"/>
                <w:kern w:val="0"/>
                <w:szCs w:val="21"/>
                <w:u w:val="single"/>
              </w:rPr>
            </w:pPr>
            <w:r>
              <w:rPr>
                <w:rFonts w:hint="eastAsia" w:ascii="仿宋_GB2312" w:hAnsi="仿宋_GB2312" w:eastAsia="仿宋_GB2312" w:cs="仿宋_GB2312"/>
                <w:kern w:val="0"/>
                <w:szCs w:val="21"/>
                <w:highlight w:val="white"/>
              </w:rPr>
              <w:t>地  址：</w:t>
            </w:r>
            <w:bookmarkStart w:id="12" w:name="EB6f5b2ee8f4414b6d89761d873029c100"/>
            <w:r>
              <w:rPr>
                <w:rFonts w:ascii="仿宋_GB2312" w:hAnsi="仿宋_GB2312" w:eastAsia="仿宋_GB2312" w:cs="仿宋_GB2312"/>
                <w:color w:val="0000FF"/>
                <w:kern w:val="0"/>
                <w:szCs w:val="21"/>
                <w:highlight w:val="white"/>
                <w:u w:val="single"/>
              </w:rPr>
              <w:t>沈阳市沈河区青年大街256号</w:t>
            </w:r>
            <w:bookmarkEnd w:id="12"/>
          </w:p>
          <w:p>
            <w:pPr>
              <w:widowControl/>
              <w:rPr>
                <w:rFonts w:ascii="仿宋_GB2312" w:hAnsi="仿宋_GB2312" w:eastAsia="仿宋_GB2312" w:cs="仿宋_GB2312"/>
                <w:kern w:val="0"/>
                <w:szCs w:val="21"/>
                <w:u w:val="single"/>
              </w:rPr>
            </w:pPr>
            <w:r>
              <w:rPr>
                <w:rFonts w:hint="eastAsia" w:ascii="仿宋_GB2312" w:hAnsi="仿宋_GB2312" w:eastAsia="仿宋_GB2312" w:cs="仿宋_GB2312"/>
                <w:kern w:val="0"/>
                <w:szCs w:val="21"/>
                <w:highlight w:val="white"/>
              </w:rPr>
              <w:t>联系人：</w:t>
            </w:r>
            <w:bookmarkStart w:id="13" w:name="EBf22582c751d94c41a0c803d2bbeaed0e"/>
            <w:r>
              <w:rPr>
                <w:rFonts w:ascii="仿宋_GB2312" w:hAnsi="仿宋_GB2312" w:eastAsia="仿宋_GB2312" w:cs="仿宋_GB2312"/>
                <w:color w:val="0000FF"/>
                <w:kern w:val="0"/>
                <w:szCs w:val="21"/>
                <w:highlight w:val="white"/>
                <w:u w:val="single"/>
              </w:rPr>
              <w:t>李应宏</w:t>
            </w:r>
            <w:bookmarkEnd w:id="13"/>
          </w:p>
          <w:p>
            <w:pPr>
              <w:widowControl/>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电  话：</w:t>
            </w:r>
            <w:bookmarkStart w:id="14" w:name="EB320d0891fa6a4598bbd41047f0e3df0b"/>
            <w:r>
              <w:rPr>
                <w:rFonts w:ascii="仿宋_GB2312" w:hAnsi="仿宋_GB2312" w:eastAsia="仿宋_GB2312" w:cs="仿宋_GB2312"/>
                <w:color w:val="0000FF"/>
                <w:kern w:val="0"/>
                <w:szCs w:val="21"/>
                <w:highlight w:val="white"/>
              </w:rPr>
              <w:t>024-81180258</w:t>
            </w:r>
            <w:bookmarkEnd w:id="14"/>
          </w:p>
        </w:tc>
      </w:tr>
      <w:tr>
        <w:tblPrEx>
          <w:tblCellMar>
            <w:top w:w="0" w:type="dxa"/>
            <w:left w:w="108" w:type="dxa"/>
            <w:bottom w:w="0" w:type="dxa"/>
            <w:right w:w="108" w:type="dxa"/>
          </w:tblCellMar>
        </w:tblPrEx>
        <w:trPr>
          <w:trHeight w:val="1254"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1.2</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采购代理机构</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widowControl/>
              <w:rPr>
                <w:rFonts w:ascii="仿宋_GB2312" w:hAnsi="仿宋_GB2312" w:eastAsia="仿宋_GB2312" w:cs="仿宋_GB2312"/>
                <w:kern w:val="0"/>
                <w:szCs w:val="21"/>
                <w:u w:val="single"/>
              </w:rPr>
            </w:pPr>
            <w:r>
              <w:rPr>
                <w:rFonts w:hint="eastAsia" w:ascii="仿宋_GB2312" w:hAnsi="仿宋_GB2312" w:eastAsia="仿宋_GB2312" w:cs="仿宋_GB2312"/>
                <w:kern w:val="0"/>
                <w:szCs w:val="21"/>
                <w:highlight w:val="white"/>
              </w:rPr>
              <w:t>名  称：辽宁省公共资源交易中心（辽宁省政府采购中心）</w:t>
            </w:r>
          </w:p>
          <w:p>
            <w:pPr>
              <w:widowControl/>
              <w:rPr>
                <w:rFonts w:ascii="仿宋_GB2312" w:hAnsi="仿宋_GB2312" w:eastAsia="仿宋_GB2312" w:cs="仿宋_GB2312"/>
                <w:kern w:val="0"/>
                <w:szCs w:val="21"/>
                <w:u w:val="single"/>
              </w:rPr>
            </w:pPr>
            <w:r>
              <w:rPr>
                <w:rFonts w:hint="eastAsia" w:ascii="仿宋_GB2312" w:hAnsi="仿宋_GB2312" w:eastAsia="仿宋_GB2312" w:cs="仿宋_GB2312"/>
                <w:kern w:val="0"/>
                <w:szCs w:val="21"/>
                <w:highlight w:val="white"/>
              </w:rPr>
              <w:t>地  址：</w:t>
            </w:r>
            <w:bookmarkStart w:id="15" w:name="EBb910aeae15f147efa582571af0bf34af"/>
            <w:r>
              <w:rPr>
                <w:rFonts w:ascii="仿宋_GB2312" w:hAnsi="仿宋_GB2312" w:eastAsia="仿宋_GB2312" w:cs="仿宋_GB2312"/>
                <w:color w:val="0000FF"/>
                <w:kern w:val="0"/>
                <w:szCs w:val="21"/>
                <w:highlight w:val="white"/>
                <w:u w:val="single"/>
              </w:rPr>
              <w:t>沈阳市皇姑区崇山中路109号（百鸟公园东侧大楼）</w:t>
            </w:r>
            <w:bookmarkEnd w:id="15"/>
          </w:p>
          <w:p>
            <w:pPr>
              <w:widowControl/>
              <w:rPr>
                <w:rFonts w:ascii="仿宋_GB2312" w:hAnsi="仿宋_GB2312" w:eastAsia="仿宋_GB2312" w:cs="仿宋_GB2312"/>
                <w:kern w:val="0"/>
                <w:szCs w:val="21"/>
                <w:u w:val="single"/>
              </w:rPr>
            </w:pPr>
            <w:r>
              <w:rPr>
                <w:rFonts w:hint="eastAsia" w:ascii="仿宋_GB2312" w:hAnsi="仿宋_GB2312" w:eastAsia="仿宋_GB2312" w:cs="仿宋_GB2312"/>
                <w:kern w:val="0"/>
                <w:szCs w:val="21"/>
                <w:highlight w:val="white"/>
              </w:rPr>
              <w:t>联系人：</w:t>
            </w:r>
            <w:bookmarkStart w:id="16" w:name="EB1c67899b3e6d4332835b8ac9d3f02e23"/>
            <w:r>
              <w:rPr>
                <w:rFonts w:ascii="仿宋_GB2312" w:hAnsi="仿宋_GB2312" w:eastAsia="仿宋_GB2312" w:cs="仿宋_GB2312"/>
                <w:color w:val="0000FF"/>
                <w:kern w:val="0"/>
                <w:szCs w:val="21"/>
                <w:highlight w:val="white"/>
                <w:u w:val="single"/>
              </w:rPr>
              <w:t>王毅</w:t>
            </w:r>
            <w:bookmarkEnd w:id="16"/>
          </w:p>
          <w:p>
            <w:pPr>
              <w:widowControl/>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电  话：</w:t>
            </w:r>
            <w:bookmarkStart w:id="17" w:name="EB91c9d4c3b3bf4f82ae1261007c0c8eb1"/>
            <w:r>
              <w:rPr>
                <w:rFonts w:ascii="仿宋_GB2312" w:hAnsi="仿宋_GB2312" w:eastAsia="仿宋_GB2312" w:cs="仿宋_GB2312"/>
                <w:color w:val="0000FF"/>
                <w:kern w:val="0"/>
                <w:szCs w:val="21"/>
                <w:highlight w:val="white"/>
              </w:rPr>
              <w:t>024-23447795</w:t>
            </w:r>
            <w:bookmarkEnd w:id="17"/>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1.3.4</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合格供应商还要满足的其它资格条件</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widowControl/>
              <w:rPr>
                <w:rFonts w:ascii="仿宋_GB2312" w:hAnsi="仿宋_GB2312" w:eastAsia="仿宋_GB2312" w:cs="仿宋_GB2312"/>
                <w:kern w:val="0"/>
                <w:szCs w:val="21"/>
                <w:highlight w:val="green"/>
              </w:rPr>
            </w:pPr>
            <w:bookmarkStart w:id="18" w:name="EB21145956550f464b97abc870ef6aff13"/>
            <w:r>
              <w:rPr>
                <w:rFonts w:ascii="仿宋_GB2312" w:hAnsi="仿宋_GB2312" w:eastAsia="仿宋_GB2312" w:cs="仿宋_GB2312"/>
                <w:color w:val="0000FF"/>
                <w:kern w:val="0"/>
                <w:szCs w:val="21"/>
                <w:highlight w:val="white"/>
              </w:rPr>
              <w:t>无</w:t>
            </w:r>
            <w:bookmarkEnd w:id="18"/>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1.3.5</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tabs>
                <w:tab w:val="left" w:pos="1425"/>
              </w:tabs>
              <w:jc w:val="center"/>
              <w:rPr>
                <w:rFonts w:ascii="仿宋_GB2312" w:hAnsi="仿宋_GB2312" w:eastAsia="仿宋_GB2312" w:cs="仿宋_GB2312"/>
                <w:bCs/>
                <w:kern w:val="0"/>
                <w:szCs w:val="21"/>
              </w:rPr>
            </w:pPr>
            <w:r>
              <w:rPr>
                <w:rFonts w:hint="eastAsia" w:ascii="仿宋_GB2312" w:hAnsi="仿宋_GB2312" w:eastAsia="仿宋_GB2312" w:cs="仿宋_GB2312"/>
                <w:kern w:val="0"/>
                <w:szCs w:val="21"/>
                <w:highlight w:val="white"/>
              </w:rPr>
              <w:t>是否为专门面向</w:t>
            </w:r>
            <w:r>
              <w:rPr>
                <w:rFonts w:hint="eastAsia" w:ascii="仿宋_GB2312" w:hAnsi="仿宋_GB2312" w:eastAsia="仿宋_GB2312" w:cs="仿宋_GB2312"/>
                <w:szCs w:val="21"/>
                <w:highlight w:val="white"/>
              </w:rPr>
              <w:t>中小企业</w:t>
            </w:r>
            <w:r>
              <w:rPr>
                <w:rFonts w:hint="eastAsia" w:ascii="仿宋_GB2312" w:hAnsi="仿宋_GB2312" w:eastAsia="仿宋_GB2312" w:cs="仿宋_GB2312"/>
                <w:kern w:val="0"/>
                <w:szCs w:val="21"/>
                <w:highlight w:val="white"/>
              </w:rPr>
              <w:t>采购</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rPr>
                <w:rFonts w:ascii="仿宋_GB2312" w:hAnsi="仿宋_GB2312" w:eastAsia="仿宋_GB2312" w:cs="仿宋_GB2312"/>
                <w:bCs/>
                <w:kern w:val="0"/>
                <w:szCs w:val="21"/>
                <w:highlight w:val="green"/>
              </w:rPr>
            </w:pPr>
            <w:bookmarkStart w:id="19" w:name="EB5214940944bc41e3940b8a81fa4382b0"/>
            <w:r>
              <w:rPr>
                <w:rFonts w:ascii="仿宋_GB2312" w:hAnsi="仿宋_GB2312" w:eastAsia="仿宋_GB2312" w:cs="仿宋_GB2312"/>
                <w:bCs/>
                <w:color w:val="0000FF"/>
                <w:kern w:val="0"/>
                <w:szCs w:val="21"/>
                <w:highlight w:val="white"/>
              </w:rPr>
              <w:t>否</w:t>
            </w:r>
            <w:bookmarkEnd w:id="19"/>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1.3.6</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tabs>
                <w:tab w:val="left" w:pos="1425"/>
              </w:tabs>
              <w:jc w:val="center"/>
              <w:rPr>
                <w:rFonts w:ascii="仿宋_GB2312" w:hAnsi="仿宋_GB2312" w:eastAsia="仿宋_GB2312" w:cs="仿宋_GB2312"/>
                <w:kern w:val="0"/>
                <w:szCs w:val="21"/>
              </w:rPr>
            </w:pPr>
            <w:r>
              <w:rPr>
                <w:rFonts w:hint="eastAsia" w:ascii="仿宋_GB2312" w:hAnsi="仿宋_GB2312" w:eastAsia="仿宋_GB2312" w:cs="仿宋_GB2312"/>
                <w:szCs w:val="21"/>
                <w:highlight w:val="white"/>
              </w:rPr>
              <w:t>是否有政府强制采购的节能产品</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rPr>
                <w:rFonts w:ascii="仿宋_GB2312" w:hAnsi="仿宋_GB2312" w:eastAsia="仿宋_GB2312" w:cs="仿宋_GB2312"/>
                <w:kern w:val="0"/>
                <w:szCs w:val="21"/>
                <w:highlight w:val="green"/>
              </w:rPr>
            </w:pPr>
            <w:bookmarkStart w:id="20" w:name="EB78c20bf0bfa64fff88f368757165e08b"/>
            <w:r>
              <w:rPr>
                <w:rFonts w:ascii="仿宋_GB2312" w:hAnsi="仿宋_GB2312" w:eastAsia="仿宋_GB2312" w:cs="仿宋_GB2312"/>
                <w:color w:val="0000FF"/>
                <w:kern w:val="0"/>
                <w:szCs w:val="21"/>
                <w:highlight w:val="white"/>
              </w:rPr>
              <w:t>没有</w:t>
            </w:r>
            <w:bookmarkEnd w:id="20"/>
          </w:p>
        </w:tc>
      </w:tr>
      <w:tr>
        <w:tblPrEx>
          <w:tblCellMar>
            <w:top w:w="0" w:type="dxa"/>
            <w:left w:w="108" w:type="dxa"/>
            <w:bottom w:w="0" w:type="dxa"/>
            <w:right w:w="108" w:type="dxa"/>
          </w:tblCellMar>
        </w:tblPrEx>
        <w:trPr>
          <w:trHeight w:val="321"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1.4</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tabs>
                <w:tab w:val="left" w:pos="1425"/>
              </w:tabs>
              <w:jc w:val="center"/>
              <w:rPr>
                <w:rFonts w:ascii="仿宋_GB2312" w:hAnsi="仿宋_GB2312" w:eastAsia="仿宋_GB2312" w:cs="仿宋_GB2312"/>
                <w:b/>
                <w:kern w:val="0"/>
                <w:szCs w:val="21"/>
              </w:rPr>
            </w:pPr>
            <w:r>
              <w:rPr>
                <w:rFonts w:hint="eastAsia" w:ascii="仿宋_GB2312" w:hAnsi="仿宋_GB2312" w:eastAsia="仿宋_GB2312" w:cs="仿宋_GB2312"/>
                <w:bCs/>
                <w:kern w:val="0"/>
                <w:szCs w:val="21"/>
                <w:highlight w:val="white"/>
              </w:rPr>
              <w:t>是否允许联合体投标</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rPr>
                <w:rFonts w:ascii="仿宋_GB2312" w:hAnsi="仿宋_GB2312" w:eastAsia="仿宋_GB2312" w:cs="仿宋_GB2312"/>
                <w:kern w:val="0"/>
                <w:szCs w:val="21"/>
                <w:highlight w:val="green"/>
              </w:rPr>
            </w:pPr>
            <w:bookmarkStart w:id="21" w:name="EBb0a6fa66236043169f02df682543d769"/>
            <w:r>
              <w:rPr>
                <w:rFonts w:ascii="仿宋_GB2312" w:hAnsi="仿宋_GB2312" w:eastAsia="仿宋_GB2312" w:cs="仿宋_GB2312"/>
                <w:color w:val="0000FF"/>
                <w:kern w:val="0"/>
                <w:szCs w:val="21"/>
                <w:highlight w:val="white"/>
              </w:rPr>
              <w:t>否</w:t>
            </w:r>
            <w:bookmarkEnd w:id="21"/>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1.4.8</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tabs>
                <w:tab w:val="left" w:pos="1425"/>
              </w:tabs>
              <w:jc w:val="center"/>
              <w:rPr>
                <w:rFonts w:ascii="仿宋_GB2312" w:hAnsi="仿宋_GB2312" w:eastAsia="仿宋_GB2312" w:cs="仿宋_GB2312"/>
                <w:bCs/>
                <w:kern w:val="0"/>
                <w:szCs w:val="21"/>
              </w:rPr>
            </w:pPr>
            <w:r>
              <w:rPr>
                <w:rFonts w:hint="eastAsia" w:ascii="仿宋_GB2312" w:hAnsi="仿宋_GB2312" w:eastAsia="仿宋_GB2312" w:cs="仿宋_GB2312"/>
                <w:bCs/>
                <w:kern w:val="0"/>
                <w:szCs w:val="21"/>
                <w:highlight w:val="white"/>
              </w:rPr>
              <w:t>联合体投标的其他资格要求</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rPr>
                <w:rFonts w:ascii="仿宋_GB2312" w:hAnsi="仿宋_GB2312" w:eastAsia="仿宋_GB2312" w:cs="仿宋_GB2312"/>
                <w:bCs/>
                <w:kern w:val="0"/>
                <w:szCs w:val="21"/>
                <w:highlight w:val="green"/>
              </w:rPr>
            </w:pPr>
            <w:bookmarkStart w:id="22" w:name="EBd10dbe65091a45fcb02aa8119861d1a4"/>
            <w:r>
              <w:rPr>
                <w:rFonts w:ascii="仿宋_GB2312" w:hAnsi="仿宋_GB2312" w:eastAsia="仿宋_GB2312" w:cs="仿宋_GB2312"/>
                <w:bCs/>
                <w:color w:val="0000FF"/>
                <w:kern w:val="0"/>
                <w:szCs w:val="21"/>
                <w:highlight w:val="white"/>
              </w:rPr>
              <w:t>无</w:t>
            </w:r>
            <w:bookmarkEnd w:id="22"/>
          </w:p>
        </w:tc>
      </w:tr>
      <w:tr>
        <w:tblPrEx>
          <w:tblCellMar>
            <w:top w:w="0" w:type="dxa"/>
            <w:left w:w="108" w:type="dxa"/>
            <w:bottom w:w="0" w:type="dxa"/>
            <w:right w:w="108" w:type="dxa"/>
          </w:tblCellMar>
        </w:tblPrEx>
        <w:trPr>
          <w:trHeight w:val="943"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2.2</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shd w:val="clear" w:color="auto" w:fill="FFFFFF"/>
              <w:jc w:val="center"/>
              <w:rPr>
                <w:rFonts w:ascii="仿宋_GB2312" w:hAnsi="仿宋_GB2312" w:eastAsia="仿宋_GB2312" w:cs="仿宋_GB2312"/>
                <w:bCs/>
                <w:kern w:val="0"/>
                <w:szCs w:val="21"/>
              </w:rPr>
            </w:pPr>
            <w:r>
              <w:rPr>
                <w:rFonts w:hint="eastAsia" w:ascii="仿宋_GB2312" w:hAnsi="仿宋_GB2312" w:eastAsia="仿宋_GB2312" w:cs="仿宋_GB2312"/>
                <w:kern w:val="0"/>
                <w:szCs w:val="21"/>
                <w:highlight w:val="white"/>
              </w:rPr>
              <w:t>项目预算金额、最高限价</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rPr>
                <w:rFonts w:ascii="仿宋_GB2312" w:hAnsi="仿宋_GB2312" w:eastAsia="仿宋_GB2312" w:cs="仿宋_GB2312"/>
                <w:bCs/>
                <w:kern w:val="0"/>
                <w:szCs w:val="21"/>
              </w:rPr>
            </w:pPr>
            <w:r>
              <w:rPr>
                <w:rFonts w:hint="eastAsia" w:ascii="仿宋_GB2312" w:hAnsi="仿宋_GB2312" w:eastAsia="仿宋_GB2312" w:cs="仿宋_GB2312"/>
                <w:bCs/>
                <w:kern w:val="0"/>
                <w:szCs w:val="21"/>
                <w:highlight w:val="white"/>
              </w:rPr>
              <w:t>预算金额：</w:t>
            </w:r>
            <w:bookmarkStart w:id="23" w:name="EB7449fa8779d14228916754c4731b1a9e"/>
            <w:r>
              <w:rPr>
                <w:rFonts w:hint="eastAsia" w:ascii="仿宋_GB2312" w:hAnsi="仿宋_GB2312" w:eastAsia="仿宋_GB2312" w:cs="仿宋_GB2312"/>
                <w:bCs/>
                <w:color w:val="0000FF"/>
                <w:kern w:val="0"/>
                <w:szCs w:val="21"/>
                <w:highlight w:val="white"/>
              </w:rPr>
              <w:t>4874300</w:t>
            </w:r>
            <w:bookmarkEnd w:id="23"/>
            <w:r>
              <w:rPr>
                <w:rFonts w:hint="eastAsia" w:ascii="仿宋_GB2312" w:hAnsi="仿宋_GB2312" w:eastAsia="仿宋_GB2312" w:cs="仿宋_GB2312"/>
                <w:bCs/>
                <w:kern w:val="0"/>
                <w:szCs w:val="21"/>
                <w:highlight w:val="white"/>
              </w:rPr>
              <w:t>元</w:t>
            </w:r>
          </w:p>
          <w:p>
            <w:pPr>
              <w:rPr>
                <w:rFonts w:ascii="仿宋_GB2312" w:hAnsi="仿宋_GB2312" w:eastAsia="仿宋_GB2312" w:cs="仿宋_GB2312"/>
                <w:bCs/>
                <w:kern w:val="0"/>
                <w:szCs w:val="21"/>
              </w:rPr>
            </w:pPr>
            <w:r>
              <w:rPr>
                <w:rFonts w:hint="eastAsia" w:ascii="仿宋_GB2312" w:hAnsi="仿宋_GB2312" w:eastAsia="仿宋_GB2312" w:cs="仿宋_GB2312"/>
                <w:bCs/>
                <w:kern w:val="0"/>
                <w:szCs w:val="21"/>
                <w:highlight w:val="white"/>
              </w:rPr>
              <w:t>最高限价：详见投标人须知表下方</w:t>
            </w:r>
            <w:r>
              <w:rPr>
                <w:rFonts w:ascii="仿宋_GB2312" w:hAnsi="仿宋_GB2312" w:eastAsia="仿宋_GB2312" w:cs="仿宋_GB2312"/>
                <w:bCs/>
                <w:kern w:val="0"/>
                <w:szCs w:val="21"/>
                <w:highlight w:val="white"/>
              </w:rPr>
              <w:t>“</w:t>
            </w:r>
            <w:r>
              <w:rPr>
                <w:rFonts w:hint="eastAsia" w:ascii="仿宋_GB2312" w:hAnsi="仿宋_GB2312" w:eastAsia="仿宋_GB2312" w:cs="仿宋_GB2312"/>
                <w:bCs/>
                <w:kern w:val="0"/>
                <w:szCs w:val="21"/>
                <w:highlight w:val="white"/>
              </w:rPr>
              <w:t>分包详细信息表</w:t>
            </w:r>
            <w:r>
              <w:rPr>
                <w:rFonts w:ascii="仿宋_GB2312" w:hAnsi="仿宋_GB2312" w:eastAsia="仿宋_GB2312" w:cs="仿宋_GB2312"/>
                <w:bCs/>
                <w:kern w:val="0"/>
                <w:szCs w:val="21"/>
                <w:highlight w:val="white"/>
              </w:rPr>
              <w:t>”</w:t>
            </w:r>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4</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tabs>
                <w:tab w:val="left" w:pos="1425"/>
              </w:tabs>
              <w:jc w:val="center"/>
              <w:rPr>
                <w:rFonts w:ascii="仿宋_GB2312" w:hAnsi="仿宋_GB2312" w:eastAsia="仿宋_GB2312" w:cs="仿宋_GB2312"/>
                <w:bCs/>
                <w:kern w:val="0"/>
                <w:szCs w:val="21"/>
              </w:rPr>
            </w:pPr>
            <w:r>
              <w:rPr>
                <w:rFonts w:hint="eastAsia" w:ascii="仿宋_GB2312" w:hAnsi="仿宋_GB2312" w:eastAsia="仿宋_GB2312" w:cs="仿宋_GB2312"/>
                <w:bCs/>
                <w:kern w:val="0"/>
                <w:szCs w:val="21"/>
                <w:highlight w:val="white"/>
              </w:rPr>
              <w:t>计量单位</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rPr>
                <w:rFonts w:ascii="仿宋_GB2312" w:hAnsi="仿宋_GB2312" w:eastAsia="仿宋_GB2312" w:cs="仿宋_GB2312"/>
                <w:bCs/>
                <w:kern w:val="0"/>
                <w:szCs w:val="21"/>
                <w:highlight w:val="green"/>
              </w:rPr>
            </w:pPr>
            <w:bookmarkStart w:id="24" w:name="EBf4ae0646fe854ec78c3494e999958245"/>
            <w:r>
              <w:rPr>
                <w:rFonts w:ascii="仿宋_GB2312" w:hAnsi="仿宋_GB2312" w:eastAsia="仿宋_GB2312" w:cs="仿宋_GB2312"/>
                <w:bCs/>
                <w:color w:val="0000FF"/>
                <w:kern w:val="0"/>
                <w:szCs w:val="21"/>
                <w:highlight w:val="white"/>
              </w:rPr>
              <w:t>中华人民共和国法定计量单位</w:t>
            </w:r>
            <w:bookmarkEnd w:id="24"/>
          </w:p>
        </w:tc>
      </w:tr>
      <w:tr>
        <w:tblPrEx>
          <w:tblCellMar>
            <w:top w:w="0" w:type="dxa"/>
            <w:left w:w="108" w:type="dxa"/>
            <w:bottom w:w="0" w:type="dxa"/>
            <w:right w:w="108" w:type="dxa"/>
          </w:tblCellMar>
        </w:tblPrEx>
        <w:trPr>
          <w:trHeight w:val="1875"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6.1</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shd w:val="clear" w:color="auto" w:fill="FFFFFF"/>
              <w:jc w:val="center"/>
              <w:rPr>
                <w:rFonts w:ascii="仿宋_GB2312" w:hAnsi="仿宋_GB2312" w:eastAsia="仿宋_GB2312" w:cs="仿宋_GB2312"/>
                <w:szCs w:val="21"/>
              </w:rPr>
            </w:pPr>
            <w:r>
              <w:rPr>
                <w:rFonts w:hint="eastAsia" w:ascii="仿宋_GB2312" w:hAnsi="仿宋_GB2312" w:eastAsia="仿宋_GB2312" w:cs="仿宋_GB2312"/>
                <w:kern w:val="0"/>
                <w:szCs w:val="21"/>
                <w:highlight w:val="white"/>
              </w:rPr>
              <w:t>现场考察、开标前答疑会</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rPr>
                <w:rFonts w:ascii="仿宋_GB2312" w:hAnsi="仿宋_GB2312" w:eastAsia="仿宋_GB2312" w:cs="仿宋_GB2312"/>
                <w:kern w:val="0"/>
                <w:szCs w:val="21"/>
                <w:highlight w:val="green"/>
              </w:rPr>
            </w:pPr>
            <w:bookmarkStart w:id="25" w:name="EB4c5766377dd14b9ea60af0a0c19e78eb"/>
            <w:r>
              <w:rPr>
                <w:rFonts w:ascii="仿宋_GB2312" w:hAnsi="仿宋_GB2312" w:eastAsia="仿宋_GB2312" w:cs="仿宋_GB2312"/>
                <w:color w:val="0000FF"/>
                <w:kern w:val="0"/>
                <w:szCs w:val="21"/>
                <w:highlight w:val="white"/>
              </w:rPr>
              <w:t>不组织</w:t>
            </w:r>
            <w:bookmarkEnd w:id="25"/>
          </w:p>
        </w:tc>
      </w:tr>
      <w:tr>
        <w:tblPrEx>
          <w:tblCellMar>
            <w:top w:w="0" w:type="dxa"/>
            <w:left w:w="108" w:type="dxa"/>
            <w:bottom w:w="0" w:type="dxa"/>
            <w:right w:w="108" w:type="dxa"/>
          </w:tblCellMar>
        </w:tblPrEx>
        <w:trPr>
          <w:trHeight w:val="6227"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11.3</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shd w:val="clear" w:color="auto" w:fill="FFFFFF"/>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样品或演示</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rPr>
                <w:rFonts w:hint="eastAsia" w:ascii="仿宋_GB2312" w:hAnsi="仿宋_GB2312" w:eastAsia="仿宋_GB2312" w:cs="仿宋_GB2312"/>
                <w:kern w:val="0"/>
                <w:szCs w:val="21"/>
              </w:rPr>
            </w:pPr>
            <w:bookmarkStart w:id="26" w:name="EBbb06111ce3d744888d027379d42ff4bb"/>
            <w:r>
              <w:rPr>
                <w:rFonts w:hint="eastAsia" w:ascii="仿宋_GB2312" w:hAnsi="仿宋_GB2312" w:eastAsia="仿宋_GB2312" w:cs="仿宋_GB2312"/>
                <w:color w:val="0000FF"/>
                <w:kern w:val="0"/>
                <w:szCs w:val="21"/>
                <w:highlight w:val="white"/>
              </w:rPr>
              <w:t>不需要提供样品</w:t>
            </w:r>
            <w:bookmarkEnd w:id="26"/>
          </w:p>
          <w:p>
            <w:pPr>
              <w:ind w:left="210"/>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 xml:space="preserve">  </w:t>
            </w:r>
          </w:p>
          <w:p>
            <w:pPr>
              <w:rPr>
                <w:rFonts w:hint="eastAsia" w:ascii="宋体" w:hAnsi="宋体"/>
                <w:highlight w:val="green"/>
              </w:rPr>
            </w:pPr>
            <w:bookmarkStart w:id="27" w:name="EB873e356325474029a3ff786c67fa6407"/>
            <w:r>
              <w:rPr>
                <w:rFonts w:hint="eastAsia" w:ascii="宋体" w:hAnsi="宋体"/>
                <w:color w:val="0000FF"/>
                <w:highlight w:val="white"/>
              </w:rPr>
              <w:t>不需要提供演示</w:t>
            </w:r>
            <w:bookmarkEnd w:id="27"/>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12.1</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shd w:val="clear" w:color="auto" w:fill="FFFFFF"/>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投标报价货币要求</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rPr>
                <w:rFonts w:hint="eastAsia" w:ascii="宋体" w:hAnsi="宋体"/>
                <w:highlight w:val="green"/>
              </w:rPr>
            </w:pPr>
            <w:bookmarkStart w:id="28" w:name="EBe510593671e4411f8302e22953645f68"/>
            <w:r>
              <w:rPr>
                <w:rFonts w:hint="eastAsia" w:ascii="宋体" w:hAnsi="宋体"/>
                <w:color w:val="0000FF"/>
                <w:highlight w:val="white"/>
              </w:rPr>
              <w:t>所有响应文件中均按人民币货币进行报价。</w:t>
            </w:r>
            <w:bookmarkEnd w:id="28"/>
          </w:p>
        </w:tc>
      </w:tr>
      <w:tr>
        <w:tblPrEx>
          <w:tblCellMar>
            <w:top w:w="0" w:type="dxa"/>
            <w:left w:w="108" w:type="dxa"/>
            <w:bottom w:w="0" w:type="dxa"/>
            <w:right w:w="108" w:type="dxa"/>
          </w:tblCellMar>
        </w:tblPrEx>
        <w:trPr>
          <w:trHeight w:val="3119" w:hRule="atLeast"/>
        </w:trPr>
        <w:tc>
          <w:tcPr>
            <w:tcW w:w="761" w:type="dxa"/>
            <w:tcBorders>
              <w:top w:val="single" w:color="auto" w:sz="4" w:space="0"/>
              <w:left w:val="single" w:color="auto" w:sz="8" w:space="0"/>
              <w:bottom w:val="single" w:color="auto" w:sz="8"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13.1</w:t>
            </w:r>
          </w:p>
        </w:tc>
        <w:tc>
          <w:tcPr>
            <w:tcW w:w="1714" w:type="dxa"/>
            <w:tcBorders>
              <w:top w:val="single" w:color="auto" w:sz="4" w:space="0"/>
              <w:left w:val="single" w:color="auto" w:sz="4" w:space="0"/>
              <w:bottom w:val="single" w:color="auto" w:sz="8" w:space="0"/>
              <w:right w:val="single" w:color="auto" w:sz="8" w:space="0"/>
            </w:tcBorders>
            <w:noWrap w:val="0"/>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highlight w:val="white"/>
              </w:rPr>
              <w:t>投标保证金</w:t>
            </w:r>
          </w:p>
        </w:tc>
        <w:tc>
          <w:tcPr>
            <w:tcW w:w="6564" w:type="dxa"/>
            <w:tcBorders>
              <w:top w:val="single" w:color="auto" w:sz="4" w:space="0"/>
              <w:left w:val="nil"/>
              <w:bottom w:val="single" w:color="auto" w:sz="8" w:space="0"/>
              <w:right w:val="single" w:color="auto" w:sz="8" w:space="0"/>
            </w:tcBorders>
            <w:noWrap w:val="0"/>
            <w:vAlign w:val="center"/>
          </w:tcPr>
          <w:p>
            <w:pPr>
              <w:pStyle w:val="10"/>
              <w:jc w:val="both"/>
              <w:rPr>
                <w:rFonts w:ascii="仿宋_GB2312" w:hAnsi="仿宋_GB2312" w:eastAsia="仿宋_GB2312" w:cs="仿宋_GB2312"/>
                <w:szCs w:val="21"/>
                <w:lang w:val="en-US" w:eastAsia="zh-CN"/>
              </w:rPr>
            </w:pPr>
            <w:r>
              <w:rPr>
                <w:rFonts w:hint="eastAsia" w:ascii="仿宋_GB2312" w:hAnsi="仿宋_GB2312" w:eastAsia="仿宋_GB2312" w:cs="仿宋_GB2312"/>
                <w:szCs w:val="21"/>
                <w:highlight w:val="white"/>
                <w:lang w:val="en-US" w:eastAsia="zh-CN"/>
              </w:rPr>
              <w:t>1、投标保证金金额：</w:t>
            </w:r>
            <w:bookmarkStart w:id="29" w:name="EBa0577c0d3e7043849d17713cd9769217"/>
            <w:r>
              <w:rPr>
                <w:rFonts w:ascii="仿宋_GB2312" w:hAnsi="仿宋_GB2312" w:eastAsia="仿宋_GB2312" w:cs="仿宋_GB2312"/>
                <w:color w:val="0000FF"/>
                <w:szCs w:val="21"/>
                <w:highlight w:val="white"/>
                <w:lang w:val="en-US" w:eastAsia="zh-CN"/>
              </w:rPr>
              <w:t>详见采购公告</w:t>
            </w:r>
            <w:bookmarkEnd w:id="29"/>
          </w:p>
          <w:p>
            <w:pPr>
              <w:pStyle w:val="10"/>
              <w:jc w:val="both"/>
              <w:rPr>
                <w:rFonts w:ascii="仿宋_GB2312" w:hAnsi="仿宋_GB2312" w:eastAsia="仿宋_GB2312" w:cs="仿宋_GB2312"/>
                <w:szCs w:val="21"/>
                <w:u w:val="single"/>
                <w:lang w:val="en-US" w:eastAsia="zh-CN"/>
              </w:rPr>
            </w:pPr>
            <w:r>
              <w:rPr>
                <w:rFonts w:hint="eastAsia" w:ascii="仿宋_GB2312" w:hAnsi="仿宋_GB2312" w:eastAsia="仿宋_GB2312" w:cs="仿宋_GB2312"/>
                <w:szCs w:val="21"/>
                <w:highlight w:val="white"/>
                <w:lang w:val="en-US" w:eastAsia="zh-CN"/>
              </w:rPr>
              <w:t>2、投标保证金到账时间：</w:t>
            </w:r>
            <w:bookmarkStart w:id="30" w:name="EBe537e494d55547988535db02afdb623b"/>
            <w:r>
              <w:rPr>
                <w:rFonts w:ascii="仿宋_GB2312" w:hAnsi="仿宋_GB2312" w:eastAsia="仿宋_GB2312" w:cs="仿宋_GB2312"/>
                <w:color w:val="0000FF"/>
                <w:szCs w:val="21"/>
                <w:highlight w:val="white"/>
                <w:u w:val="single"/>
                <w:lang w:val="en-US" w:eastAsia="zh-CN"/>
              </w:rPr>
              <w:t>递交投标文件截止时间前</w:t>
            </w:r>
            <w:bookmarkEnd w:id="30"/>
          </w:p>
          <w:p>
            <w:pPr>
              <w:pStyle w:val="10"/>
              <w:jc w:val="both"/>
              <w:rPr>
                <w:rFonts w:ascii="仿宋_GB2312" w:hAnsi="仿宋_GB2312" w:eastAsia="仿宋_GB2312" w:cs="仿宋_GB2312"/>
                <w:kern w:val="0"/>
                <w:szCs w:val="21"/>
                <w:u w:val="single"/>
                <w:lang w:val="en-US" w:eastAsia="zh-CN"/>
              </w:rPr>
            </w:pPr>
            <w:r>
              <w:rPr>
                <w:rFonts w:hint="eastAsia" w:ascii="仿宋_GB2312" w:hAnsi="仿宋_GB2312" w:eastAsia="仿宋_GB2312" w:cs="仿宋_GB2312"/>
                <w:szCs w:val="21"/>
                <w:highlight w:val="white"/>
                <w:lang w:val="en-US" w:eastAsia="zh-CN"/>
              </w:rPr>
              <w:t>3、投标保证金缴纳方式：</w:t>
            </w:r>
            <w:bookmarkStart w:id="31" w:name="EB67d7d4bb74cc41c989eb81172f3838ab"/>
            <w:r>
              <w:rPr>
                <w:rFonts w:ascii="仿宋_GB2312" w:hAnsi="仿宋_GB2312" w:eastAsia="仿宋_GB2312" w:cs="仿宋_GB2312"/>
                <w:color w:val="0000FF"/>
                <w:kern w:val="0"/>
                <w:szCs w:val="21"/>
                <w:highlight w:val="white"/>
                <w:u w:val="single"/>
                <w:lang w:val="en-US" w:eastAsia="zh-CN"/>
              </w:rPr>
              <w:t>电汇/保函/支票</w:t>
            </w:r>
            <w:bookmarkEnd w:id="31"/>
          </w:p>
          <w:p>
            <w:pPr>
              <w:rPr>
                <w:rFonts w:ascii="仿宋_GB2312" w:hAnsi="仿宋_GB2312" w:eastAsia="仿宋_GB2312" w:cs="仿宋_GB2312"/>
                <w:szCs w:val="21"/>
              </w:rPr>
            </w:pPr>
            <w:r>
              <w:rPr>
                <w:rFonts w:hint="eastAsia" w:ascii="仿宋_GB2312" w:hAnsi="仿宋_GB2312" w:eastAsia="仿宋_GB2312" w:cs="仿宋_GB2312"/>
                <w:szCs w:val="21"/>
                <w:highlight w:val="white"/>
              </w:rPr>
              <w:t xml:space="preserve">  保证金收款人银行信息：</w:t>
            </w:r>
            <w:bookmarkStart w:id="32" w:name="EB95085593ea934af8bf4a22f57715a298"/>
            <w:r>
              <w:rPr>
                <w:rFonts w:ascii="仿宋_GB2312" w:hAnsi="仿宋_GB2312" w:eastAsia="仿宋_GB2312" w:cs="仿宋_GB2312"/>
                <w:color w:val="0000FF"/>
                <w:szCs w:val="21"/>
                <w:highlight w:val="white"/>
              </w:rPr>
              <w:t>详见采购公告</w:t>
            </w:r>
            <w:bookmarkEnd w:id="32"/>
          </w:p>
          <w:p>
            <w:pPr>
              <w:rPr>
                <w:rFonts w:ascii="仿宋_GB2312" w:hAnsi="仿宋_GB2312" w:eastAsia="仿宋_GB2312" w:cs="仿宋_GB2312"/>
                <w:szCs w:val="21"/>
              </w:rPr>
            </w:pPr>
            <w:r>
              <w:rPr>
                <w:rFonts w:hint="eastAsia" w:ascii="仿宋_GB2312" w:hAnsi="仿宋_GB2312" w:eastAsia="仿宋_GB2312" w:cs="仿宋_GB2312"/>
                <w:szCs w:val="21"/>
                <w:highlight w:val="white"/>
              </w:rPr>
              <w:t>4、保证金退还方式：</w:t>
            </w:r>
            <w:bookmarkStart w:id="33" w:name="EBf82e947bc92b4c349bfa590e89ed5e9c"/>
            <w:r>
              <w:rPr>
                <w:rFonts w:ascii="仿宋_GB2312" w:hAnsi="仿宋_GB2312" w:eastAsia="仿宋_GB2312" w:cs="仿宋_GB2312"/>
                <w:color w:val="0000FF"/>
                <w:szCs w:val="21"/>
                <w:highlight w:val="white"/>
              </w:rPr>
              <w:t>网上自动退款</w:t>
            </w:r>
            <w:bookmarkEnd w:id="33"/>
          </w:p>
          <w:p>
            <w:pPr>
              <w:rPr>
                <w:rFonts w:ascii="仿宋_GB2312" w:hAnsi="仿宋_GB2312" w:eastAsia="仿宋_GB2312" w:cs="仿宋_GB2312"/>
                <w:szCs w:val="21"/>
              </w:rPr>
            </w:pPr>
            <w:r>
              <w:rPr>
                <w:rFonts w:hint="eastAsia" w:ascii="仿宋_GB2312" w:hAnsi="仿宋_GB2312" w:eastAsia="仿宋_GB2312" w:cs="仿宋_GB2312"/>
                <w:szCs w:val="21"/>
                <w:highlight w:val="white"/>
              </w:rPr>
              <w:t>5、保证金退还咨询电话：</w:t>
            </w:r>
            <w:bookmarkStart w:id="34" w:name="EBd039ebe2f31e46cbb5343de6c5895e14"/>
            <w:r>
              <w:rPr>
                <w:rFonts w:ascii="仿宋_GB2312" w:hAnsi="仿宋_GB2312" w:eastAsia="仿宋_GB2312" w:cs="仿宋_GB2312"/>
                <w:color w:val="0000FF"/>
                <w:szCs w:val="21"/>
                <w:highlight w:val="white"/>
              </w:rPr>
              <w:t>024-23447726</w:t>
            </w:r>
            <w:bookmarkEnd w:id="34"/>
          </w:p>
          <w:p>
            <w:pPr>
              <w:rPr>
                <w:rFonts w:ascii="仿宋_GB2312" w:hAnsi="仿宋_GB2312" w:eastAsia="仿宋_GB2312" w:cs="仿宋_GB2312"/>
                <w:szCs w:val="21"/>
                <w:u w:val="single"/>
              </w:rPr>
            </w:pPr>
            <w:r>
              <w:rPr>
                <w:rFonts w:hint="eastAsia" w:ascii="仿宋_GB2312" w:hAnsi="仿宋_GB2312" w:eastAsia="仿宋_GB2312" w:cs="仿宋_GB2312"/>
                <w:szCs w:val="21"/>
                <w:highlight w:val="white"/>
              </w:rPr>
              <w:t>6、其它：</w:t>
            </w:r>
            <w:bookmarkStart w:id="35" w:name="EBadae95b4d1ac44c68ac3d4a8933c0f2d"/>
            <w:r>
              <w:rPr>
                <w:rFonts w:ascii="仿宋_GB2312" w:hAnsi="仿宋_GB2312" w:eastAsia="仿宋_GB2312" w:cs="仿宋_GB2312"/>
                <w:color w:val="0000FF"/>
                <w:szCs w:val="21"/>
                <w:highlight w:val="white"/>
                <w:u w:val="single"/>
              </w:rPr>
              <w:t>无</w:t>
            </w:r>
            <w:bookmarkEnd w:id="35"/>
          </w:p>
          <w:p>
            <w:pPr>
              <w:rPr>
                <w:rFonts w:ascii="仿宋_GB2312" w:hAnsi="仿宋_GB2312" w:eastAsia="仿宋_GB2312" w:cs="仿宋_GB2312"/>
                <w:szCs w:val="21"/>
              </w:rPr>
            </w:pPr>
            <w:bookmarkStart w:id="36" w:name="EB7b03f6d0459249abad2b95dcdb7a7f93"/>
            <w:r>
              <w:rPr>
                <w:rFonts w:ascii="仿宋_GB2312" w:hAnsi="仿宋_GB2312" w:eastAsia="仿宋_GB2312" w:cs="仿宋_GB2312"/>
                <w:color w:val="0000FF"/>
                <w:szCs w:val="21"/>
                <w:highlight w:val="white"/>
              </w:rPr>
              <w:t>（注：鼓励采用保函的方式递交投标保证金）</w:t>
            </w:r>
            <w:bookmarkEnd w:id="36"/>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8" w:space="0"/>
              <w:bottom w:val="single" w:color="auto" w:sz="8"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15.1</w:t>
            </w:r>
          </w:p>
        </w:tc>
        <w:tc>
          <w:tcPr>
            <w:tcW w:w="1714" w:type="dxa"/>
            <w:tcBorders>
              <w:top w:val="single" w:color="auto" w:sz="4" w:space="0"/>
              <w:left w:val="single" w:color="auto" w:sz="4" w:space="0"/>
              <w:bottom w:val="single" w:color="auto" w:sz="8" w:space="0"/>
              <w:right w:val="single" w:color="auto" w:sz="8" w:space="0"/>
            </w:tcBorders>
            <w:noWrap w:val="0"/>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highlight w:val="white"/>
              </w:rPr>
              <w:t>投标有效期</w:t>
            </w:r>
          </w:p>
        </w:tc>
        <w:tc>
          <w:tcPr>
            <w:tcW w:w="6564" w:type="dxa"/>
            <w:tcBorders>
              <w:top w:val="single" w:color="auto" w:sz="4" w:space="0"/>
              <w:left w:val="nil"/>
              <w:bottom w:val="single" w:color="auto" w:sz="8" w:space="0"/>
              <w:right w:val="single" w:color="auto" w:sz="8" w:space="0"/>
            </w:tcBorders>
            <w:noWrap w:val="0"/>
            <w:vAlign w:val="center"/>
          </w:tcPr>
          <w:p>
            <w:pPr>
              <w:pStyle w:val="10"/>
              <w:jc w:val="both"/>
              <w:rPr>
                <w:rFonts w:ascii="仿宋_GB2312" w:hAnsi="仿宋_GB2312" w:eastAsia="仿宋_GB2312" w:cs="仿宋_GB2312"/>
                <w:kern w:val="0"/>
                <w:szCs w:val="21"/>
                <w:lang w:val="en-US" w:eastAsia="zh-CN"/>
              </w:rPr>
            </w:pPr>
            <w:bookmarkStart w:id="37" w:name="EB48a1468f1beb4260910aeaae25aefa24"/>
            <w:r>
              <w:rPr>
                <w:rFonts w:hint="eastAsia" w:ascii="仿宋_GB2312" w:hAnsi="仿宋_GB2312" w:eastAsia="仿宋_GB2312" w:cs="仿宋_GB2312"/>
                <w:color w:val="0000FF"/>
                <w:kern w:val="0"/>
                <w:szCs w:val="21"/>
                <w:highlight w:val="white"/>
                <w:lang w:val="en-US" w:eastAsia="zh-CN"/>
              </w:rPr>
              <w:t>90</w:t>
            </w:r>
            <w:bookmarkEnd w:id="37"/>
            <w:r>
              <w:rPr>
                <w:rFonts w:hint="eastAsia" w:ascii="仿宋_GB2312" w:hAnsi="仿宋_GB2312" w:eastAsia="仿宋_GB2312" w:cs="仿宋_GB2312"/>
                <w:kern w:val="0"/>
                <w:szCs w:val="21"/>
                <w:highlight w:val="white"/>
                <w:lang w:val="en-US" w:eastAsia="zh-CN"/>
              </w:rPr>
              <w:t>日历日</w:t>
            </w:r>
          </w:p>
        </w:tc>
      </w:tr>
      <w:tr>
        <w:tblPrEx>
          <w:tblCellMar>
            <w:top w:w="0" w:type="dxa"/>
            <w:left w:w="108" w:type="dxa"/>
            <w:bottom w:w="0" w:type="dxa"/>
            <w:right w:w="108" w:type="dxa"/>
          </w:tblCellMar>
        </w:tblPrEx>
        <w:trPr>
          <w:trHeight w:val="642" w:hRule="atLeast"/>
        </w:trPr>
        <w:tc>
          <w:tcPr>
            <w:tcW w:w="761" w:type="dxa"/>
            <w:tcBorders>
              <w:top w:val="nil"/>
              <w:left w:val="single" w:color="auto" w:sz="8"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16.1</w:t>
            </w:r>
          </w:p>
        </w:tc>
        <w:tc>
          <w:tcPr>
            <w:tcW w:w="1714" w:type="dxa"/>
            <w:tcBorders>
              <w:top w:val="nil"/>
              <w:left w:val="single" w:color="auto" w:sz="4" w:space="0"/>
              <w:bottom w:val="single" w:color="auto" w:sz="4" w:space="0"/>
              <w:right w:val="single" w:color="auto" w:sz="8"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szCs w:val="21"/>
                <w:highlight w:val="white"/>
              </w:rPr>
              <w:t>投标文件及电子文档份数</w:t>
            </w:r>
          </w:p>
        </w:tc>
        <w:tc>
          <w:tcPr>
            <w:tcW w:w="6564" w:type="dxa"/>
            <w:tcBorders>
              <w:top w:val="nil"/>
              <w:left w:val="nil"/>
              <w:bottom w:val="single" w:color="auto" w:sz="4" w:space="0"/>
              <w:right w:val="single" w:color="auto" w:sz="8" w:space="0"/>
            </w:tcBorders>
            <w:noWrap w:val="0"/>
            <w:vAlign w:val="center"/>
          </w:tcPr>
          <w:p>
            <w:pPr>
              <w:widowControl/>
              <w:rPr>
                <w:rFonts w:ascii="仿宋_GB2312" w:hAnsi="仿宋_GB2312" w:eastAsia="仿宋_GB2312" w:cs="仿宋_GB2312"/>
                <w:szCs w:val="21"/>
              </w:rPr>
            </w:pPr>
            <w:bookmarkStart w:id="38" w:name="EB1f43ff3d93ef4dc6863bf32175e654e1"/>
            <w:r>
              <w:rPr>
                <w:rFonts w:hint="eastAsia" w:ascii="仿宋_GB2312" w:hAnsi="仿宋_GB2312" w:eastAsia="仿宋_GB2312" w:cs="仿宋_GB2312"/>
                <w:color w:val="0000FF"/>
                <w:szCs w:val="21"/>
                <w:highlight w:val="white"/>
              </w:rPr>
              <w:t>☑</w:t>
            </w:r>
            <w:bookmarkEnd w:id="38"/>
            <w:r>
              <w:rPr>
                <w:rFonts w:hint="eastAsia" w:ascii="仿宋_GB2312" w:hAnsi="仿宋_GB2312" w:eastAsia="仿宋_GB2312" w:cs="仿宋_GB2312"/>
                <w:szCs w:val="21"/>
                <w:highlight w:val="white"/>
              </w:rPr>
              <w:t>正本</w:t>
            </w:r>
            <w:bookmarkStart w:id="39" w:name="EB7bda026589814e3bb1becd565b2954ae"/>
            <w:r>
              <w:rPr>
                <w:rFonts w:hint="eastAsia" w:ascii="仿宋_GB2312" w:hAnsi="仿宋_GB2312" w:eastAsia="仿宋_GB2312" w:cs="仿宋_GB2312"/>
                <w:color w:val="0000FF"/>
                <w:szCs w:val="21"/>
                <w:highlight w:val="white"/>
              </w:rPr>
              <w:t>1</w:t>
            </w:r>
            <w:bookmarkEnd w:id="39"/>
            <w:r>
              <w:rPr>
                <w:rFonts w:hint="eastAsia" w:ascii="仿宋_GB2312" w:hAnsi="仿宋_GB2312" w:eastAsia="仿宋_GB2312" w:cs="仿宋_GB2312"/>
                <w:szCs w:val="21"/>
                <w:highlight w:val="white"/>
              </w:rPr>
              <w:t>份,副本</w:t>
            </w:r>
            <w:bookmarkStart w:id="40" w:name="EB3c12c19249774f92b502aa0f64896c83"/>
            <w:r>
              <w:rPr>
                <w:rFonts w:hint="eastAsia" w:ascii="仿宋_GB2312" w:hAnsi="仿宋_GB2312" w:eastAsia="仿宋_GB2312" w:cs="仿宋_GB2312"/>
                <w:color w:val="0000FF"/>
                <w:szCs w:val="21"/>
                <w:highlight w:val="white"/>
              </w:rPr>
              <w:t>4</w:t>
            </w:r>
            <w:bookmarkEnd w:id="40"/>
            <w:r>
              <w:rPr>
                <w:rFonts w:hint="eastAsia" w:ascii="仿宋_GB2312" w:hAnsi="仿宋_GB2312" w:eastAsia="仿宋_GB2312" w:cs="仿宋_GB2312"/>
                <w:szCs w:val="21"/>
                <w:highlight w:val="white"/>
              </w:rPr>
              <w:t>份</w:t>
            </w:r>
          </w:p>
          <w:p>
            <w:pPr>
              <w:widowControl/>
              <w:rPr>
                <w:rFonts w:hint="eastAsia" w:ascii="仿宋_GB2312" w:hAnsi="仿宋_GB2312" w:eastAsia="仿宋_GB2312" w:cs="仿宋_GB2312"/>
                <w:kern w:val="0"/>
                <w:szCs w:val="21"/>
              </w:rPr>
            </w:pPr>
            <w:r>
              <w:rPr>
                <w:rFonts w:hint="eastAsia" w:ascii="仿宋_GB2312" w:hAnsi="仿宋_GB2312" w:eastAsia="仿宋_GB2312" w:cs="仿宋_GB2312"/>
                <w:kern w:val="0"/>
                <w:szCs w:val="21"/>
                <w:highlight w:val="white"/>
              </w:rPr>
              <w:t>电子文档</w:t>
            </w:r>
            <w:bookmarkStart w:id="41" w:name="EBd79a388419e84cabbe53bd2447b9fca9"/>
            <w:r>
              <w:rPr>
                <w:rFonts w:hint="eastAsia" w:ascii="仿宋_GB2312" w:hAnsi="仿宋_GB2312" w:eastAsia="仿宋_GB2312" w:cs="仿宋_GB2312"/>
                <w:color w:val="0000FF"/>
                <w:kern w:val="0"/>
                <w:szCs w:val="21"/>
                <w:highlight w:val="white"/>
              </w:rPr>
              <w:t>1</w:t>
            </w:r>
            <w:bookmarkEnd w:id="41"/>
            <w:r>
              <w:rPr>
                <w:rFonts w:hint="eastAsia" w:ascii="仿宋_GB2312" w:hAnsi="仿宋_GB2312" w:eastAsia="仿宋_GB2312" w:cs="仿宋_GB2312"/>
                <w:kern w:val="0"/>
                <w:szCs w:val="21"/>
                <w:highlight w:val="white"/>
              </w:rPr>
              <w:t>份</w:t>
            </w:r>
          </w:p>
          <w:p>
            <w:pPr>
              <w:rPr>
                <w:highlight w:val="green"/>
              </w:rPr>
            </w:pPr>
            <w:bookmarkStart w:id="42" w:name="EB1309181a99314a62aa6c93d25473e129"/>
            <w:r>
              <w:rPr>
                <w:rFonts w:hint="eastAsia" w:ascii="仿宋_GB2312" w:hAnsi="仿宋_GB2312" w:eastAsia="仿宋_GB2312" w:cs="仿宋_GB2312"/>
                <w:color w:val="0000FF"/>
                <w:szCs w:val="21"/>
                <w:highlight w:val="white"/>
              </w:rPr>
              <w:t>□</w:t>
            </w:r>
            <w:bookmarkEnd w:id="42"/>
            <w:r>
              <w:rPr>
                <w:rFonts w:hint="eastAsia" w:ascii="仿宋_GB2312" w:hAnsi="仿宋_GB2312" w:eastAsia="仿宋_GB2312" w:cs="仿宋_GB2312"/>
                <w:szCs w:val="21"/>
                <w:highlight w:val="white"/>
              </w:rPr>
              <w:t>该项目为电子标，请按采购公告要求制作并上传电子投标文件。</w:t>
            </w:r>
          </w:p>
        </w:tc>
      </w:tr>
      <w:tr>
        <w:tblPrEx>
          <w:tblCellMar>
            <w:top w:w="0" w:type="dxa"/>
            <w:left w:w="108" w:type="dxa"/>
            <w:bottom w:w="0" w:type="dxa"/>
            <w:right w:w="108" w:type="dxa"/>
          </w:tblCellMar>
        </w:tblPrEx>
        <w:trPr>
          <w:trHeight w:val="632" w:hRule="atLeast"/>
        </w:trPr>
        <w:tc>
          <w:tcPr>
            <w:tcW w:w="761" w:type="dxa"/>
            <w:tcBorders>
              <w:top w:val="nil"/>
              <w:left w:val="single" w:color="auto" w:sz="8"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18.1</w:t>
            </w:r>
          </w:p>
        </w:tc>
        <w:tc>
          <w:tcPr>
            <w:tcW w:w="1714" w:type="dxa"/>
            <w:tcBorders>
              <w:top w:val="nil"/>
              <w:left w:val="single" w:color="auto" w:sz="4" w:space="0"/>
              <w:bottom w:val="single" w:color="auto" w:sz="4" w:space="0"/>
              <w:right w:val="single" w:color="auto" w:sz="8" w:space="0"/>
            </w:tcBorders>
            <w:noWrap w:val="0"/>
            <w:vAlign w:val="center"/>
          </w:tcPr>
          <w:p>
            <w:pPr>
              <w:widowControl/>
              <w:jc w:val="center"/>
              <w:rPr>
                <w:rFonts w:ascii="仿宋_GB2312" w:hAnsi="仿宋_GB2312" w:eastAsia="仿宋_GB2312" w:cs="仿宋_GB2312"/>
                <w:szCs w:val="21"/>
              </w:rPr>
            </w:pPr>
            <w:r>
              <w:rPr>
                <w:rFonts w:hint="eastAsia" w:ascii="仿宋_GB2312" w:hAnsi="仿宋_GB2312" w:eastAsia="仿宋_GB2312" w:cs="仿宋_GB2312"/>
                <w:szCs w:val="21"/>
                <w:highlight w:val="white"/>
              </w:rPr>
              <w:t>递交投标文件截止时间、地点</w:t>
            </w:r>
          </w:p>
        </w:tc>
        <w:tc>
          <w:tcPr>
            <w:tcW w:w="6564" w:type="dxa"/>
            <w:tcBorders>
              <w:top w:val="nil"/>
              <w:left w:val="nil"/>
              <w:bottom w:val="single" w:color="auto" w:sz="4" w:space="0"/>
              <w:right w:val="single" w:color="auto" w:sz="8" w:space="0"/>
            </w:tcBorders>
            <w:noWrap w:val="0"/>
            <w:vAlign w:val="center"/>
          </w:tcPr>
          <w:p>
            <w:pPr>
              <w:widowControl/>
              <w:rPr>
                <w:rFonts w:ascii="仿宋_GB2312" w:hAnsi="仿宋_GB2312" w:eastAsia="仿宋_GB2312" w:cs="仿宋_GB2312"/>
                <w:kern w:val="0"/>
                <w:szCs w:val="21"/>
                <w:u w:val="single"/>
              </w:rPr>
            </w:pPr>
            <w:r>
              <w:rPr>
                <w:rFonts w:hint="eastAsia" w:ascii="仿宋_GB2312" w:hAnsi="仿宋_GB2312" w:eastAsia="仿宋_GB2312" w:cs="仿宋_GB2312"/>
                <w:kern w:val="0"/>
                <w:szCs w:val="21"/>
                <w:highlight w:val="white"/>
              </w:rPr>
              <w:t>详见招标公告，以招标公告规定时间、地点为准。</w:t>
            </w:r>
          </w:p>
        </w:tc>
      </w:tr>
      <w:tr>
        <w:tblPrEx>
          <w:tblCellMar>
            <w:top w:w="0" w:type="dxa"/>
            <w:left w:w="108" w:type="dxa"/>
            <w:bottom w:w="0" w:type="dxa"/>
            <w:right w:w="108" w:type="dxa"/>
          </w:tblCellMar>
        </w:tblPrEx>
        <w:trPr>
          <w:trHeight w:val="614" w:hRule="atLeast"/>
        </w:trPr>
        <w:tc>
          <w:tcPr>
            <w:tcW w:w="761" w:type="dxa"/>
            <w:tcBorders>
              <w:top w:val="nil"/>
              <w:left w:val="single" w:color="auto" w:sz="8"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20.1</w:t>
            </w:r>
          </w:p>
        </w:tc>
        <w:tc>
          <w:tcPr>
            <w:tcW w:w="1714" w:type="dxa"/>
            <w:tcBorders>
              <w:top w:val="nil"/>
              <w:left w:val="single" w:color="auto" w:sz="4" w:space="0"/>
              <w:bottom w:val="single" w:color="auto" w:sz="4" w:space="0"/>
              <w:right w:val="single" w:color="auto" w:sz="8" w:space="0"/>
            </w:tcBorders>
            <w:noWrap w:val="0"/>
            <w:vAlign w:val="center"/>
          </w:tcPr>
          <w:p>
            <w:pPr>
              <w:widowControl/>
              <w:jc w:val="center"/>
              <w:rPr>
                <w:rFonts w:ascii="仿宋_GB2312" w:hAnsi="仿宋_GB2312" w:eastAsia="仿宋_GB2312" w:cs="仿宋_GB2312"/>
                <w:szCs w:val="21"/>
              </w:rPr>
            </w:pPr>
            <w:r>
              <w:rPr>
                <w:rFonts w:hint="eastAsia" w:ascii="仿宋_GB2312" w:hAnsi="仿宋_GB2312" w:eastAsia="仿宋_GB2312" w:cs="仿宋_GB2312"/>
                <w:szCs w:val="21"/>
                <w:highlight w:val="white"/>
              </w:rPr>
              <w:t>开标时间、地点</w:t>
            </w:r>
          </w:p>
        </w:tc>
        <w:tc>
          <w:tcPr>
            <w:tcW w:w="6564" w:type="dxa"/>
            <w:tcBorders>
              <w:top w:val="nil"/>
              <w:left w:val="nil"/>
              <w:bottom w:val="single" w:color="auto" w:sz="4" w:space="0"/>
              <w:right w:val="single" w:color="auto" w:sz="8" w:space="0"/>
            </w:tcBorders>
            <w:noWrap w:val="0"/>
            <w:vAlign w:val="center"/>
          </w:tcPr>
          <w:p>
            <w:pPr>
              <w:widowControl/>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详见招标公告，以招标公告规定时间、地点为准。</w:t>
            </w:r>
          </w:p>
        </w:tc>
      </w:tr>
      <w:tr>
        <w:tblPrEx>
          <w:tblCellMar>
            <w:top w:w="0" w:type="dxa"/>
            <w:left w:w="108" w:type="dxa"/>
            <w:bottom w:w="0" w:type="dxa"/>
            <w:right w:w="108" w:type="dxa"/>
          </w:tblCellMar>
        </w:tblPrEx>
        <w:trPr>
          <w:trHeight w:val="614" w:hRule="atLeast"/>
        </w:trPr>
        <w:tc>
          <w:tcPr>
            <w:tcW w:w="761" w:type="dxa"/>
            <w:tcBorders>
              <w:top w:val="nil"/>
              <w:left w:val="single" w:color="auto" w:sz="8"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21</w:t>
            </w:r>
          </w:p>
        </w:tc>
        <w:tc>
          <w:tcPr>
            <w:tcW w:w="1714" w:type="dxa"/>
            <w:tcBorders>
              <w:top w:val="nil"/>
              <w:left w:val="single" w:color="auto" w:sz="4" w:space="0"/>
              <w:bottom w:val="single" w:color="auto" w:sz="4" w:space="0"/>
              <w:right w:val="single" w:color="auto" w:sz="8" w:space="0"/>
            </w:tcBorders>
            <w:noWrap w:val="0"/>
            <w:vAlign w:val="center"/>
          </w:tcPr>
          <w:p>
            <w:pPr>
              <w:widowControl/>
              <w:jc w:val="center"/>
              <w:rPr>
                <w:rFonts w:ascii="仿宋_GB2312" w:hAnsi="仿宋_GB2312" w:eastAsia="仿宋_GB2312" w:cs="仿宋_GB2312"/>
                <w:szCs w:val="21"/>
              </w:rPr>
            </w:pPr>
            <w:r>
              <w:rPr>
                <w:rFonts w:hint="eastAsia" w:ascii="仿宋_GB2312" w:hAnsi="仿宋_GB2312" w:eastAsia="仿宋_GB2312" w:cs="仿宋_GB2312"/>
                <w:szCs w:val="21"/>
                <w:highlight w:val="white"/>
              </w:rPr>
              <w:t>评标委员会组成</w:t>
            </w:r>
          </w:p>
        </w:tc>
        <w:tc>
          <w:tcPr>
            <w:tcW w:w="6564" w:type="dxa"/>
            <w:tcBorders>
              <w:top w:val="nil"/>
              <w:left w:val="nil"/>
              <w:bottom w:val="single" w:color="auto" w:sz="4" w:space="0"/>
              <w:right w:val="single" w:color="auto" w:sz="8" w:space="0"/>
            </w:tcBorders>
            <w:noWrap w:val="0"/>
            <w:vAlign w:val="center"/>
          </w:tcPr>
          <w:p>
            <w:pPr>
              <w:widowControl/>
              <w:rPr>
                <w:rFonts w:ascii="仿宋_GB2312" w:hAnsi="仿宋_GB2312" w:eastAsia="仿宋_GB2312" w:cs="仿宋_GB2312"/>
                <w:kern w:val="0"/>
                <w:szCs w:val="21"/>
              </w:rPr>
            </w:pPr>
            <w:r>
              <w:rPr>
                <w:rFonts w:hint="eastAsia" w:ascii="仿宋_GB2312" w:hAnsi="仿宋_GB2312" w:eastAsia="仿宋_GB2312" w:cs="仿宋_GB2312"/>
                <w:szCs w:val="21"/>
                <w:highlight w:val="white"/>
              </w:rPr>
              <w:t>评标委员会由采购人代表</w:t>
            </w:r>
            <w:bookmarkStart w:id="43" w:name="EB876fb2dc4b8745839ecc5fcec110353c"/>
            <w:r>
              <w:rPr>
                <w:rFonts w:hint="eastAsia" w:ascii="仿宋_GB2312" w:hAnsi="仿宋_GB2312" w:eastAsia="仿宋_GB2312" w:cs="仿宋_GB2312"/>
                <w:color w:val="0000FF"/>
                <w:szCs w:val="21"/>
                <w:highlight w:val="white"/>
              </w:rPr>
              <w:t>1</w:t>
            </w:r>
            <w:bookmarkEnd w:id="43"/>
            <w:r>
              <w:rPr>
                <w:rFonts w:hint="eastAsia" w:ascii="仿宋_GB2312" w:hAnsi="仿宋_GB2312" w:eastAsia="仿宋_GB2312" w:cs="仿宋_GB2312"/>
                <w:szCs w:val="21"/>
                <w:highlight w:val="white"/>
              </w:rPr>
              <w:t>人，评审专家</w:t>
            </w:r>
            <w:bookmarkStart w:id="44" w:name="EB59bdf45372a64dafb8ca7db08bffe736"/>
            <w:r>
              <w:rPr>
                <w:rFonts w:hint="eastAsia" w:ascii="仿宋_GB2312" w:hAnsi="仿宋_GB2312" w:eastAsia="仿宋_GB2312" w:cs="仿宋_GB2312"/>
                <w:color w:val="0000FF"/>
                <w:szCs w:val="21"/>
                <w:highlight w:val="white"/>
              </w:rPr>
              <w:t>4</w:t>
            </w:r>
            <w:bookmarkEnd w:id="44"/>
            <w:r>
              <w:rPr>
                <w:rFonts w:hint="eastAsia" w:ascii="仿宋_GB2312" w:hAnsi="仿宋_GB2312" w:eastAsia="仿宋_GB2312" w:cs="仿宋_GB2312"/>
                <w:szCs w:val="21"/>
                <w:highlight w:val="white"/>
              </w:rPr>
              <w:t>人组成，共</w:t>
            </w:r>
            <w:bookmarkStart w:id="45" w:name="EB1b728c07829a4ebdb01a9a0b54fb536b"/>
            <w:r>
              <w:rPr>
                <w:rFonts w:hint="eastAsia" w:ascii="仿宋_GB2312" w:hAnsi="仿宋_GB2312" w:eastAsia="仿宋_GB2312" w:cs="仿宋_GB2312"/>
                <w:color w:val="0000FF"/>
                <w:szCs w:val="21"/>
                <w:highlight w:val="white"/>
              </w:rPr>
              <w:t>5</w:t>
            </w:r>
            <w:bookmarkEnd w:id="45"/>
            <w:r>
              <w:rPr>
                <w:rFonts w:hint="eastAsia" w:ascii="仿宋_GB2312" w:hAnsi="仿宋_GB2312" w:eastAsia="仿宋_GB2312" w:cs="仿宋_GB2312"/>
                <w:szCs w:val="21"/>
                <w:highlight w:val="white"/>
              </w:rPr>
              <w:t xml:space="preserve">人。 </w:t>
            </w:r>
          </w:p>
        </w:tc>
      </w:tr>
      <w:tr>
        <w:tblPrEx>
          <w:tblCellMar>
            <w:top w:w="0" w:type="dxa"/>
            <w:left w:w="108" w:type="dxa"/>
            <w:bottom w:w="0" w:type="dxa"/>
            <w:right w:w="108" w:type="dxa"/>
          </w:tblCellMar>
        </w:tblPrEx>
        <w:trPr>
          <w:trHeight w:val="2186"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25.1</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shd w:val="clear" w:color="auto" w:fill="FFFFFF"/>
              <w:jc w:val="center"/>
              <w:rPr>
                <w:rFonts w:ascii="仿宋_GB2312" w:hAnsi="仿宋_GB2312" w:eastAsia="仿宋_GB2312" w:cs="仿宋_GB2312"/>
                <w:szCs w:val="21"/>
              </w:rPr>
            </w:pPr>
            <w:r>
              <w:rPr>
                <w:rFonts w:hint="eastAsia" w:ascii="仿宋_GB2312" w:hAnsi="仿宋_GB2312" w:eastAsia="仿宋_GB2312" w:cs="仿宋_GB2312"/>
                <w:szCs w:val="21"/>
                <w:highlight w:val="white"/>
              </w:rPr>
              <w:t>样品的评审方法以及评审标准</w:t>
            </w:r>
          </w:p>
          <w:p>
            <w:pPr>
              <w:shd w:val="clear" w:color="auto" w:fill="FFFFFF"/>
              <w:jc w:val="center"/>
              <w:rPr>
                <w:rFonts w:ascii="仿宋_GB2312" w:hAnsi="仿宋_GB2312" w:eastAsia="仿宋_GB2312" w:cs="仿宋_GB2312"/>
                <w:szCs w:val="21"/>
              </w:rPr>
            </w:pPr>
            <w:r>
              <w:rPr>
                <w:rFonts w:hint="eastAsia" w:ascii="仿宋_GB2312" w:hAnsi="仿宋_GB2312" w:eastAsia="仿宋_GB2312" w:cs="仿宋_GB2312"/>
                <w:szCs w:val="21"/>
                <w:highlight w:val="white"/>
              </w:rPr>
              <w:t>演示的评审方法及评审标准</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rPr>
                <w:rFonts w:ascii="仿宋_GB2312" w:hAnsi="仿宋_GB2312" w:eastAsia="仿宋_GB2312" w:cs="仿宋_GB2312"/>
                <w:szCs w:val="21"/>
              </w:rPr>
            </w:pPr>
            <w:bookmarkStart w:id="46" w:name="EB0647127387de4037b487cf9b28d03cd3"/>
            <w:r>
              <w:rPr>
                <w:rFonts w:ascii="仿宋_GB2312" w:hAnsi="仿宋_GB2312" w:eastAsia="仿宋_GB2312" w:cs="仿宋_GB2312"/>
                <w:color w:val="0000FF"/>
                <w:szCs w:val="21"/>
                <w:highlight w:val="white"/>
              </w:rPr>
              <w:t>无</w:t>
            </w:r>
            <w:bookmarkEnd w:id="46"/>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27.2</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szCs w:val="21"/>
              </w:rPr>
            </w:pPr>
            <w:r>
              <w:rPr>
                <w:rFonts w:hint="eastAsia" w:ascii="仿宋_GB2312" w:hAnsi="仿宋_GB2312" w:eastAsia="仿宋_GB2312" w:cs="仿宋_GB2312"/>
                <w:szCs w:val="21"/>
                <w:highlight w:val="white"/>
              </w:rPr>
              <w:t>评标办法</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widowControl/>
              <w:rPr>
                <w:rFonts w:ascii="仿宋_GB2312" w:hAnsi="仿宋_GB2312" w:eastAsia="仿宋_GB2312" w:cs="仿宋_GB2312"/>
                <w:szCs w:val="21"/>
                <w:highlight w:val="green"/>
              </w:rPr>
            </w:pPr>
            <w:bookmarkStart w:id="47" w:name="EB37cca99bb2bc4b2ca3dbee4a8c5da18a"/>
            <w:r>
              <w:rPr>
                <w:rFonts w:ascii="仿宋_GB2312" w:hAnsi="仿宋_GB2312" w:eastAsia="仿宋_GB2312" w:cs="仿宋_GB2312"/>
                <w:color w:val="0000FF"/>
                <w:szCs w:val="21"/>
                <w:highlight w:val="white"/>
              </w:rPr>
              <w:t>综合评分法</w:t>
            </w:r>
            <w:bookmarkEnd w:id="47"/>
          </w:p>
        </w:tc>
      </w:tr>
      <w:tr>
        <w:tblPrEx>
          <w:tblCellMar>
            <w:top w:w="0" w:type="dxa"/>
            <w:left w:w="108" w:type="dxa"/>
            <w:bottom w:w="0" w:type="dxa"/>
            <w:right w:w="108" w:type="dxa"/>
          </w:tblCellMar>
        </w:tblPrEx>
        <w:trPr>
          <w:trHeight w:val="632"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29.2</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推荐中标候选人的数量</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widowControl/>
              <w:rPr>
                <w:rFonts w:ascii="仿宋_GB2312" w:hAnsi="仿宋_GB2312" w:eastAsia="仿宋_GB2312" w:cs="仿宋_GB2312"/>
                <w:kern w:val="0"/>
                <w:szCs w:val="21"/>
                <w:highlight w:val="green"/>
              </w:rPr>
            </w:pPr>
            <w:bookmarkStart w:id="48" w:name="EB6d209ae4ec5e408a96ab15733202f6a3"/>
            <w:r>
              <w:rPr>
                <w:rFonts w:ascii="仿宋_GB2312" w:hAnsi="仿宋_GB2312" w:eastAsia="仿宋_GB2312" w:cs="仿宋_GB2312"/>
                <w:color w:val="0000FF"/>
                <w:kern w:val="0"/>
                <w:szCs w:val="21"/>
                <w:highlight w:val="white"/>
              </w:rPr>
              <w:t>3</w:t>
            </w:r>
            <w:bookmarkEnd w:id="48"/>
          </w:p>
        </w:tc>
      </w:tr>
      <w:tr>
        <w:tblPrEx>
          <w:tblCellMar>
            <w:top w:w="0" w:type="dxa"/>
            <w:left w:w="108" w:type="dxa"/>
            <w:bottom w:w="0" w:type="dxa"/>
            <w:right w:w="108" w:type="dxa"/>
          </w:tblCellMar>
        </w:tblPrEx>
        <w:trPr>
          <w:trHeight w:val="943"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31</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确定中标人的方式</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widowControl/>
              <w:rPr>
                <w:rFonts w:ascii="仿宋_GB2312" w:hAnsi="仿宋_GB2312" w:eastAsia="仿宋_GB2312" w:cs="仿宋_GB2312"/>
                <w:kern w:val="0"/>
                <w:szCs w:val="21"/>
                <w:highlight w:val="green"/>
              </w:rPr>
            </w:pPr>
            <w:bookmarkStart w:id="49" w:name="EB56ed09822eb64d16aa530bb5993bb80c"/>
            <w:r>
              <w:rPr>
                <w:rFonts w:ascii="仿宋_GB2312" w:hAnsi="仿宋_GB2312" w:eastAsia="仿宋_GB2312" w:cs="仿宋_GB2312"/>
                <w:color w:val="0000FF"/>
                <w:kern w:val="0"/>
                <w:szCs w:val="21"/>
                <w:highlight w:val="white"/>
              </w:rPr>
              <w:t>采购人委托评标委员会直接确定中标人</w:t>
            </w:r>
            <w:bookmarkEnd w:id="49"/>
          </w:p>
        </w:tc>
      </w:tr>
      <w:tr>
        <w:tblPrEx>
          <w:tblCellMar>
            <w:top w:w="0" w:type="dxa"/>
            <w:left w:w="108" w:type="dxa"/>
            <w:bottom w:w="0" w:type="dxa"/>
            <w:right w:w="108" w:type="dxa"/>
          </w:tblCellMar>
        </w:tblPrEx>
        <w:trPr>
          <w:trHeight w:val="3119" w:hRule="atLeast"/>
        </w:trPr>
        <w:tc>
          <w:tcPr>
            <w:tcW w:w="761"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35.1</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shd w:val="clear" w:color="auto" w:fill="FFFFFF"/>
              <w:jc w:val="center"/>
              <w:rPr>
                <w:rFonts w:ascii="仿宋_GB2312" w:hAnsi="仿宋_GB2312" w:eastAsia="仿宋_GB2312" w:cs="仿宋_GB2312"/>
                <w:kern w:val="0"/>
                <w:szCs w:val="21"/>
              </w:rPr>
            </w:pPr>
            <w:r>
              <w:rPr>
                <w:rFonts w:hint="eastAsia" w:ascii="仿宋_GB2312" w:hAnsi="仿宋_GB2312" w:eastAsia="仿宋_GB2312" w:cs="仿宋_GB2312"/>
                <w:szCs w:val="21"/>
                <w:highlight w:val="white"/>
              </w:rPr>
              <w:t>履约保证金</w:t>
            </w:r>
          </w:p>
        </w:tc>
        <w:tc>
          <w:tcPr>
            <w:tcW w:w="6564" w:type="dxa"/>
            <w:tcBorders>
              <w:top w:val="single" w:color="auto" w:sz="4" w:space="0"/>
              <w:left w:val="single" w:color="auto" w:sz="4" w:space="0"/>
              <w:bottom w:val="single" w:color="auto" w:sz="4" w:space="0"/>
              <w:right w:val="single" w:color="auto" w:sz="4" w:space="0"/>
            </w:tcBorders>
            <w:noWrap w:val="0"/>
            <w:vAlign w:val="center"/>
          </w:tcPr>
          <w:p>
            <w:pPr>
              <w:rPr>
                <w:rFonts w:hint="eastAsia" w:ascii="仿宋_GB2312" w:hAnsi="仿宋_GB2312" w:eastAsia="仿宋_GB2312" w:cs="仿宋_GB2312"/>
                <w:szCs w:val="21"/>
              </w:rPr>
            </w:pPr>
            <w:bookmarkStart w:id="50" w:name="EB42ef7fa1728643308f1ca99e6f8b3885"/>
            <w:r>
              <w:rPr>
                <w:rFonts w:hint="eastAsia" w:ascii="仿宋_GB2312" w:hAnsi="仿宋_GB2312" w:eastAsia="仿宋_GB2312" w:cs="仿宋_GB2312"/>
                <w:color w:val="0000FF"/>
                <w:szCs w:val="21"/>
                <w:highlight w:val="white"/>
              </w:rPr>
              <w:t>本项目不收取履约保证金</w:t>
            </w:r>
            <w:bookmarkEnd w:id="50"/>
          </w:p>
          <w:p>
            <w:pPr>
              <w:shd w:val="clear" w:color="auto" w:fill="FFFFFF"/>
              <w:rPr>
                <w:rFonts w:ascii="仿宋_GB2312" w:hAnsi="仿宋_GB2312" w:eastAsia="仿宋_GB2312" w:cs="仿宋_GB2312"/>
                <w:kern w:val="0"/>
                <w:szCs w:val="21"/>
                <w:highlight w:val="green"/>
              </w:rPr>
            </w:pPr>
            <w:bookmarkStart w:id="51" w:name="EBe756567e920e4254837ff08d59428109"/>
            <w:bookmarkEnd w:id="51"/>
          </w:p>
        </w:tc>
      </w:tr>
      <w:tr>
        <w:tblPrEx>
          <w:tblCellMar>
            <w:top w:w="0" w:type="dxa"/>
            <w:left w:w="108" w:type="dxa"/>
            <w:bottom w:w="0" w:type="dxa"/>
            <w:right w:w="108" w:type="dxa"/>
          </w:tblCellMar>
        </w:tblPrEx>
        <w:trPr>
          <w:trHeight w:val="1254" w:hRule="atLeast"/>
        </w:trPr>
        <w:tc>
          <w:tcPr>
            <w:tcW w:w="761" w:type="dxa"/>
            <w:tcBorders>
              <w:top w:val="nil"/>
              <w:left w:val="single" w:color="auto" w:sz="8" w:space="0"/>
              <w:bottom w:val="single" w:color="auto" w:sz="8"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36</w:t>
            </w:r>
          </w:p>
        </w:tc>
        <w:tc>
          <w:tcPr>
            <w:tcW w:w="1714" w:type="dxa"/>
            <w:tcBorders>
              <w:top w:val="nil"/>
              <w:left w:val="single" w:color="auto" w:sz="4" w:space="0"/>
              <w:bottom w:val="single" w:color="auto" w:sz="8" w:space="0"/>
              <w:right w:val="single" w:color="auto" w:sz="8"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采购代理服务费</w:t>
            </w:r>
          </w:p>
        </w:tc>
        <w:tc>
          <w:tcPr>
            <w:tcW w:w="6564" w:type="dxa"/>
            <w:tcBorders>
              <w:top w:val="nil"/>
              <w:left w:val="nil"/>
              <w:bottom w:val="single" w:color="auto" w:sz="8" w:space="0"/>
              <w:right w:val="single" w:color="auto" w:sz="8" w:space="0"/>
            </w:tcBorders>
            <w:noWrap w:val="0"/>
            <w:vAlign w:val="center"/>
          </w:tcPr>
          <w:p>
            <w:pPr>
              <w:shd w:val="clear" w:color="auto" w:fill="FFFFFF"/>
              <w:rPr>
                <w:rFonts w:ascii="仿宋_GB2312" w:hAnsi="仿宋_GB2312" w:eastAsia="仿宋_GB2312" w:cs="仿宋_GB2312"/>
                <w:szCs w:val="21"/>
              </w:rPr>
            </w:pPr>
            <w:r>
              <w:rPr>
                <w:rFonts w:hint="eastAsia" w:ascii="仿宋_GB2312" w:hAnsi="仿宋_GB2312" w:eastAsia="仿宋_GB2312" w:cs="仿宋_GB2312"/>
                <w:szCs w:val="21"/>
                <w:highlight w:val="white"/>
              </w:rPr>
              <w:t>本项目不收取</w:t>
            </w:r>
            <w:r>
              <w:rPr>
                <w:rFonts w:hint="eastAsia" w:ascii="仿宋_GB2312" w:hAnsi="仿宋_GB2312" w:eastAsia="仿宋_GB2312" w:cs="仿宋_GB2312"/>
                <w:kern w:val="0"/>
                <w:szCs w:val="21"/>
                <w:highlight w:val="white"/>
              </w:rPr>
              <w:t>采购代理服务费</w:t>
            </w:r>
          </w:p>
        </w:tc>
      </w:tr>
      <w:tr>
        <w:tblPrEx>
          <w:tblCellMar>
            <w:top w:w="0" w:type="dxa"/>
            <w:left w:w="108" w:type="dxa"/>
            <w:bottom w:w="0" w:type="dxa"/>
            <w:right w:w="108" w:type="dxa"/>
          </w:tblCellMar>
        </w:tblPrEx>
        <w:trPr>
          <w:trHeight w:val="967" w:hRule="atLeast"/>
        </w:trPr>
        <w:tc>
          <w:tcPr>
            <w:tcW w:w="761" w:type="dxa"/>
            <w:tcBorders>
              <w:top w:val="single" w:color="auto" w:sz="4" w:space="0"/>
              <w:left w:val="single" w:color="auto" w:sz="8" w:space="0"/>
              <w:bottom w:val="single" w:color="auto" w:sz="8" w:space="0"/>
              <w:right w:val="single" w:color="auto" w:sz="4"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39.3</w:t>
            </w:r>
          </w:p>
        </w:tc>
        <w:tc>
          <w:tcPr>
            <w:tcW w:w="1714" w:type="dxa"/>
            <w:tcBorders>
              <w:top w:val="single" w:color="auto" w:sz="4" w:space="0"/>
              <w:left w:val="single" w:color="auto" w:sz="4" w:space="0"/>
              <w:bottom w:val="single" w:color="auto" w:sz="8" w:space="0"/>
              <w:right w:val="single" w:color="auto" w:sz="8" w:space="0"/>
            </w:tcBorders>
            <w:noWrap w:val="0"/>
            <w:vAlign w:val="center"/>
          </w:tcPr>
          <w:p>
            <w:pPr>
              <w:widowControl/>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质疑</w:t>
            </w:r>
          </w:p>
        </w:tc>
        <w:tc>
          <w:tcPr>
            <w:tcW w:w="6564" w:type="dxa"/>
            <w:tcBorders>
              <w:top w:val="single" w:color="auto" w:sz="4" w:space="0"/>
              <w:left w:val="nil"/>
              <w:bottom w:val="single" w:color="auto" w:sz="8" w:space="0"/>
              <w:right w:val="single" w:color="auto" w:sz="8" w:space="0"/>
            </w:tcBorders>
            <w:noWrap w:val="0"/>
            <w:vAlign w:val="center"/>
          </w:tcPr>
          <w:p>
            <w:pPr>
              <w:pStyle w:val="10"/>
              <w:jc w:val="both"/>
              <w:rPr>
                <w:rFonts w:hint="eastAsia"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highlight w:val="white"/>
                <w:lang w:val="en-US" w:eastAsia="zh-CN"/>
              </w:rPr>
              <w:t>1.投标人对招标文件中的采购需求、供应商资格条件、技术和商务条款、评审方法和评审标准提出的询问及质疑，应向采购人提出。</w:t>
            </w:r>
          </w:p>
          <w:p>
            <w:pPr>
              <w:pStyle w:val="10"/>
              <w:jc w:val="both"/>
              <w:rPr>
                <w:rFonts w:hint="eastAsia"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highlight w:val="white"/>
                <w:lang w:val="en-US" w:eastAsia="zh-CN"/>
              </w:rPr>
              <w:t>采购人质疑经办人：</w:t>
            </w:r>
            <w:bookmarkStart w:id="52" w:name="EB585e51c5cd354eb18d1b92c5cfb92ae0"/>
            <w:r>
              <w:rPr>
                <w:rFonts w:hint="eastAsia" w:ascii="仿宋_GB2312" w:hAnsi="仿宋_GB2312" w:eastAsia="仿宋_GB2312" w:cs="仿宋_GB2312"/>
                <w:color w:val="0000FF"/>
                <w:kern w:val="0"/>
                <w:szCs w:val="21"/>
                <w:highlight w:val="white"/>
                <w:lang w:val="en-US" w:eastAsia="zh-CN"/>
              </w:rPr>
              <w:t>李应宏</w:t>
            </w:r>
            <w:bookmarkEnd w:id="52"/>
          </w:p>
          <w:p>
            <w:pPr>
              <w:pStyle w:val="10"/>
              <w:jc w:val="both"/>
              <w:rPr>
                <w:rFonts w:hint="eastAsia"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highlight w:val="white"/>
                <w:lang w:val="en-US" w:eastAsia="zh-CN"/>
              </w:rPr>
              <w:t>电        话:</w:t>
            </w:r>
            <w:bookmarkStart w:id="53" w:name="EB6706e3e48801465c83f86a4976130526"/>
            <w:r>
              <w:rPr>
                <w:rFonts w:hint="eastAsia" w:ascii="仿宋_GB2312" w:hAnsi="仿宋_GB2312" w:eastAsia="仿宋_GB2312" w:cs="仿宋_GB2312"/>
                <w:color w:val="0000FF"/>
                <w:kern w:val="0"/>
                <w:szCs w:val="21"/>
                <w:highlight w:val="white"/>
                <w:lang w:val="en-US" w:eastAsia="zh-CN"/>
              </w:rPr>
              <w:t>024-81180258</w:t>
            </w:r>
            <w:bookmarkEnd w:id="53"/>
          </w:p>
          <w:p>
            <w:pPr>
              <w:pStyle w:val="10"/>
              <w:jc w:val="both"/>
              <w:rPr>
                <w:rFonts w:hint="eastAsia"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highlight w:val="white"/>
                <w:lang w:val="en-US" w:eastAsia="zh-CN"/>
              </w:rPr>
              <w:t>2.投标人对采购项目操作流程提出的询问、质疑，应向辽宁省公共资源交易中心（辽宁省政府采购中心）提出。</w:t>
            </w:r>
          </w:p>
          <w:p>
            <w:pPr>
              <w:pStyle w:val="10"/>
              <w:jc w:val="both"/>
              <w:rPr>
                <w:rFonts w:hint="eastAsia"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highlight w:val="white"/>
                <w:lang w:val="en-US" w:eastAsia="zh-CN"/>
              </w:rPr>
              <w:t>采购中心质疑经办人：许晶淼  周璐</w:t>
            </w:r>
          </w:p>
          <w:p>
            <w:pPr>
              <w:pStyle w:val="10"/>
              <w:jc w:val="both"/>
              <w:rPr>
                <w:rFonts w:hint="eastAsia"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highlight w:val="white"/>
                <w:lang w:val="en-US" w:eastAsia="zh-CN"/>
              </w:rPr>
              <w:t>电话：</w:t>
            </w:r>
            <w:r>
              <w:rPr>
                <w:rFonts w:ascii="仿宋_GB2312" w:hAnsi="仿宋_GB2312" w:eastAsia="仿宋_GB2312" w:cs="仿宋_GB2312"/>
                <w:kern w:val="0"/>
                <w:szCs w:val="21"/>
                <w:highlight w:val="white"/>
                <w:lang w:val="en-US" w:eastAsia="zh-CN"/>
              </w:rPr>
              <w:t>024-23447736</w:t>
            </w:r>
            <w:r>
              <w:rPr>
                <w:rFonts w:hint="eastAsia" w:ascii="仿宋_GB2312" w:hAnsi="仿宋_GB2312" w:eastAsia="仿宋_GB2312" w:cs="仿宋_GB2312"/>
                <w:kern w:val="0"/>
                <w:szCs w:val="21"/>
                <w:highlight w:val="white"/>
                <w:lang w:val="en-US" w:eastAsia="zh-CN"/>
              </w:rPr>
              <w:t xml:space="preserve">  024-23447750</w:t>
            </w:r>
          </w:p>
          <w:p>
            <w:pPr>
              <w:pStyle w:val="10"/>
              <w:jc w:val="both"/>
              <w:rPr>
                <w:rFonts w:hint="eastAsia"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highlight w:val="white"/>
                <w:lang w:val="en-US" w:eastAsia="zh-CN"/>
              </w:rPr>
              <w:t>3.质疑函的内容、格式：应符合《政府采购质疑和投诉办法》相关规定和财政部门制定的《政府采购质疑函范本》格式。</w:t>
            </w:r>
          </w:p>
          <w:p>
            <w:pPr>
              <w:pStyle w:val="10"/>
              <w:jc w:val="both"/>
              <w:rPr>
                <w:rFonts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highlight w:val="white"/>
                <w:lang w:val="en-US" w:eastAsia="zh-CN"/>
              </w:rPr>
              <w:t>4.投标人应在法定质疑期内一次性针对同一采购程序环节提出质疑，否则针对再次提出质疑将不予接收。（采购程序环节分为：招标公告、招标文件、招标过程、中标结果）</w:t>
            </w:r>
          </w:p>
        </w:tc>
      </w:tr>
    </w:tbl>
    <w:p>
      <w:pPr>
        <w:rPr>
          <w:rFonts w:hint="eastAsia" w:ascii="仿宋_GB2312" w:hAnsi="仿宋_GB2312" w:eastAsia="仿宋_GB2312" w:cs="仿宋_GB2312"/>
          <w:color w:val="000080"/>
          <w:sz w:val="20"/>
          <w:highlight w:val="red"/>
        </w:rPr>
      </w:pPr>
      <w:bookmarkStart w:id="54" w:name="EB388d725a42064a7ab8fdc94b61eabb48"/>
    </w:p>
    <w:p>
      <w:pPr>
        <w:widowControl/>
        <w:jc w:val="left"/>
        <w:rPr>
          <w:rFonts w:ascii="仿宋_GB2312" w:hAnsi="仿宋_GB2312" w:eastAsia="仿宋_GB2312" w:cs="仿宋_GB2312"/>
          <w:kern w:val="0"/>
          <w:szCs w:val="24"/>
          <w:lang w:eastAsia="en-US"/>
        </w:rPr>
      </w:pPr>
      <w:r>
        <w:rPr>
          <w:rFonts w:ascii="仿宋_GB2312" w:hAnsi="仿宋_GB2312" w:eastAsia="仿宋_GB2312" w:cs="仿宋_GB2312"/>
          <w:kern w:val="0"/>
          <w:szCs w:val="24"/>
          <w:lang w:eastAsia="en-US"/>
        </w:rPr>
        <w:t>包详细信息表</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42"/>
        <w:gridCol w:w="744"/>
        <w:gridCol w:w="1667"/>
        <w:gridCol w:w="1479"/>
        <w:gridCol w:w="742"/>
        <w:gridCol w:w="7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包号</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分包产品名称</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最高限价(元)</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保证金（元）</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评审办法</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价格打分法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LNZC2024-0364-1</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软件开发服务</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4874300</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48000</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综合评分法</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最低价优先法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980" w:type="dxa"/>
            <w:gridSpan w:val="6"/>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r>
    </w:tbl>
    <w:p>
      <w:pPr>
        <w:rPr>
          <w:rFonts w:ascii="仿宋_GB2312" w:hAnsi="仿宋_GB2312" w:eastAsia="仿宋_GB2312" w:cs="仿宋_GB2312"/>
          <w:color w:val="000080"/>
          <w:sz w:val="20"/>
          <w:highlight w:val="white"/>
        </w:rPr>
      </w:pPr>
      <w:r>
        <w:rPr>
          <w:rFonts w:ascii="仿宋_GB2312" w:hAnsi="仿宋_GB2312" w:eastAsia="仿宋_GB2312" w:cs="仿宋_GB2312"/>
          <w:color w:val="000080"/>
          <w:sz w:val="20"/>
          <w:highlight w:val="white"/>
        </w:rPr>
        <w:t xml:space="preserve"> </w:t>
      </w:r>
      <w:bookmarkEnd w:id="54"/>
    </w:p>
    <w:p>
      <w:pPr>
        <w:rPr>
          <w:rFonts w:hint="eastAsia"/>
          <w:color w:val="000080"/>
          <w:sz w:val="20"/>
          <w:highlight w:val="cyan"/>
        </w:rPr>
      </w:pPr>
      <w:bookmarkStart w:id="55" w:name="EB09f83f5f9ae54b4fa925137d59192277"/>
      <w:bookmarkEnd w:id="55"/>
      <w:bookmarkStart w:id="56" w:name="EB0d8656eb2a6c4d3789522ee185a5775d"/>
      <w:bookmarkEnd w:id="56"/>
    </w:p>
    <w:p>
      <w:pPr>
        <w:rPr>
          <w:rFonts w:hint="eastAsia"/>
          <w:color w:val="000080"/>
          <w:sz w:val="20"/>
          <w:highlight w:val="cyan"/>
        </w:rPr>
      </w:pPr>
      <w:bookmarkStart w:id="57" w:name="EB92295b8cd8ff44f88dac5864c7fdc5f0"/>
      <w:bookmarkEnd w:id="57"/>
      <w:bookmarkStart w:id="58" w:name="EB33aad2f944e6466691c2523ecb9eba53"/>
      <w:bookmarkEnd w:id="58"/>
    </w:p>
    <w:p>
      <w:pPr>
        <w:rPr>
          <w:rFonts w:hint="eastAsia"/>
          <w:color w:val="000080"/>
          <w:sz w:val="20"/>
          <w:highlight w:val="red"/>
        </w:rPr>
      </w:pPr>
    </w:p>
    <w:p>
      <w:pPr>
        <w:keepNext/>
        <w:keepLines/>
        <w:adjustRightInd w:val="0"/>
        <w:snapToGrid w:val="0"/>
        <w:spacing w:line="360" w:lineRule="auto"/>
        <w:jc w:val="center"/>
        <w:outlineLvl w:val="1"/>
        <w:rPr>
          <w:rFonts w:ascii="仿宋_GB2312" w:hAnsi="仿宋_GB2312" w:eastAsia="仿宋_GB2312" w:cs="仿宋_GB2312"/>
          <w:b/>
          <w:sz w:val="32"/>
          <w:szCs w:val="36"/>
        </w:rPr>
      </w:pPr>
      <w:r>
        <w:rPr>
          <w:rFonts w:hint="eastAsia" w:ascii="仿宋_GB2312" w:hAnsi="仿宋_GB2312" w:eastAsia="仿宋_GB2312" w:cs="仿宋_GB2312"/>
          <w:b/>
          <w:sz w:val="32"/>
          <w:szCs w:val="36"/>
        </w:rPr>
        <w:t>二 总则</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1.采购人、采购代理机构及投标人</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1.1采购人：是指依法进行政府采购的国家机关、事业单位、团体组织。本项目采购人见投标人须知表1.1条。</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1.2采购代理机构：是指集中采购机构或从事采购代理业务的社会中介机构，本项目的采购代理机构见投标人须知表1.2条。</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★1.3投标人：是指向采购人提供货物、工程或者服务的法人、非法人组织或者自然人。本项目的投标人及其投标服务须满足以下条件：</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1.3.1在中华人民共和国境内注册，能够独立承担民事责任，有生产或供应能力的本国供应商。</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1.3.2符合《中华人民共和国政府采购法》第二十二条关于供应商条件的规定，遵守本项目采购人本级和上级财政部门关于政府采购的有关规定。</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1.3.3以采购代理机构认可的方式获得了本项目的招标文件。</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1.3.4符合投标人须知表1.3.4条中规定的资格条件。</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1.3.5若投标人须知表1.3.5条中写明专门面向中小企业采购的，如投标人为非中小企业，其投标将被认定为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1.3.6若投标人须知表1.3.6款中写明采购服务所伴随的货物为财政部、发展改革委、生态环境部等部门发布的品目清单中属于实施政府强制采购品目清单范围的节能产品，如投标人所投伴随的货物不具备依据国家确定的认证机构出具的、处于有效期之内的节能产品认证证书，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★1.4如投标人须知表1.4条中允许联合体投标，对联合体规定如下：</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1.4.1两个以上供应商可以组成一个投标联合体，以一个投标人的身份投标。</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1.4.2联合体各方均应符合《中华人民共和国政府采购法》第二十二条规定的条件。</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1.4.3采购人根据采购项目对投标人的特殊要求，联合体中至少应当有一方符合相关规定。</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1.4.4联合体各方应签订共同投标协议，明确约定联合体各方承担的工作和相应的责任。</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1.4.5大中型企业、其他自然人、法人或者非法人组织与小型、微型企业组成联合体共同参加投标，共同投标协议中应写明小型、微型企业的协议合同金额占到共同投标协议投标总金额的比例。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1.4.6联合体中有同类资质的供应商按照联合体分工承担相同工作的，按照较低的资质等级确定联合体的资质等级。</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1.4.7以联合体形式参加政府采购活动的，联合体各方不得再单独参加或者与其他供应商另外组成联合体参加本项目投标，否则相关投标将被认定为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（1）两个以上的自然人、法人或者其他组织可以组成一个联合体，以一个投标人的身份共同参加政府采购活动。</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（2）联合体中标的，联合体各方应共同与采购人签订采购合同，就采购合同约定的事项对采购人承担连带责任。</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1.4.8对联合体投标的其他资格要求见投标人须知表1.4.8条。</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★1.5单位负责人为同一人或者存在直接控股、管理关系的不同供应商，其相关投标将被认定为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★1.6为本项目提供过整体设计、规范编制或者项目管理、监理、检测等服务的供应商，不得再参加本项目上述服务以外的其他采购活动，否则其投标将被认定为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★1.7为防范化解廉洁风险，保证公平公正，投标人在投标过程中不得向采购人提供、给予任何有价值的物品，影响其正常决策行为。一经发现，其将被认定为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2.资金来源</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2.1本项目的采购人已获得足以支付本次招标后所签订的合同项下的资金（包括财政性资金和本项目采购中无法与财政性资金分割的非财政性资金）。</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★2.2项目预算金额和分项或分包最高限价见投标人须知表2.2条。</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★2.3投标人报价超过招标文件规定的预算金额或者分项、分包最高限价的，其投标将被认定为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3.语言文字</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除专用术语外，与投标有关的语言均使用中文。必要时专用术语应附有中文注释。对不同文字文本投标文件的解释发生异议的，以中文文本为准。</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4.计量单位</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除投标人须知表4条中有特殊要求外，投标文件中所使用的计量单位，应采用中华人民共和国法定计量单位。</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5.投标费用</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不论投标的结果如何，投标人应承担所有与投标有关的费用。</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6.现场考察、开标前答疑会</w:t>
      </w:r>
    </w:p>
    <w:p>
      <w:pPr>
        <w:adjustRightInd w:val="0"/>
        <w:snapToGrid w:val="0"/>
        <w:spacing w:line="360" w:lineRule="auto"/>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6.1</w:t>
      </w:r>
      <w:r>
        <w:rPr>
          <w:rFonts w:eastAsia="仿宋" w:cs="Calibri"/>
          <w:szCs w:val="24"/>
        </w:rPr>
        <w:fldChar w:fldCharType="begin"/>
      </w:r>
      <w:r>
        <w:rPr>
          <w:rFonts w:eastAsia="仿宋" w:cs="Calibri"/>
          <w:szCs w:val="24"/>
        </w:rPr>
        <w:instrText xml:space="preserve"> </w:instrText>
      </w:r>
      <w:r>
        <w:rPr>
          <w:rFonts w:hint="eastAsia" w:eastAsia="仿宋" w:cs="Calibri"/>
          <w:szCs w:val="24"/>
        </w:rPr>
        <w:instrText xml:space="preserve">HYPERLINK "file:///C:\\Users\\86186\\Desktop\\总则等文本内容-7套范本\\服务类公开招标文件-LNSZFCGXMFWLGKZB.doc" \l "_踏勘现场"</w:instrText>
      </w:r>
      <w:r>
        <w:rPr>
          <w:rFonts w:eastAsia="仿宋" w:cs="Calibri"/>
          <w:szCs w:val="24"/>
        </w:rPr>
        <w:instrText xml:space="preserve"> </w:instrText>
      </w:r>
      <w:r>
        <w:rPr>
          <w:rFonts w:eastAsia="仿宋" w:cs="Calibri"/>
          <w:szCs w:val="24"/>
        </w:rPr>
        <w:fldChar w:fldCharType="separate"/>
      </w:r>
      <w:r>
        <w:rPr>
          <w:rFonts w:hint="eastAsia" w:ascii="仿宋_GB2312" w:hAnsi="仿宋_GB2312" w:eastAsia="仿宋_GB2312" w:cs="仿宋_GB2312"/>
          <w:color w:val="0000FF"/>
          <w:kern w:val="0"/>
          <w:szCs w:val="21"/>
          <w:u w:val="single"/>
        </w:rPr>
        <w:t>投标人须知表</w:t>
      </w:r>
      <w:r>
        <w:rPr>
          <w:rFonts w:eastAsia="仿宋" w:cs="Calibri"/>
          <w:szCs w:val="24"/>
        </w:rPr>
        <w:fldChar w:fldCharType="end"/>
      </w:r>
      <w:r>
        <w:rPr>
          <w:rFonts w:hint="eastAsia" w:ascii="仿宋_GB2312" w:hAnsi="仿宋_GB2312" w:eastAsia="仿宋_GB2312" w:cs="仿宋_GB2312"/>
          <w:kern w:val="0"/>
          <w:szCs w:val="21"/>
        </w:rPr>
        <w:t>6.1条规定组织现场考察或开标前答疑会的，采购人按规定的时间、地点组织投标人现场考察或开标前答疑会，或者在领取招标文件期限截止后以书面形式通知所有获取招标文件的潜在投标人。</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6.2</w:t>
      </w:r>
      <w:r>
        <w:rPr>
          <w:rFonts w:hint="eastAsia" w:ascii="仿宋_GB2312" w:hAnsi="仿宋_GB2312" w:eastAsia="仿宋_GB2312" w:cs="仿宋_GB2312"/>
          <w:kern w:val="0"/>
          <w:szCs w:val="21"/>
        </w:rPr>
        <w:t>由于未参加现场考察或标前答疑而导致对项目实际情况不了解，影响技术文件编制、</w:t>
      </w:r>
      <w:r>
        <w:rPr>
          <w:rFonts w:eastAsia="仿宋" w:cs="Calibri"/>
          <w:szCs w:val="24"/>
        </w:rPr>
        <w:fldChar w:fldCharType="begin"/>
      </w:r>
      <w:r>
        <w:rPr>
          <w:rFonts w:eastAsia="仿宋" w:cs="Calibri"/>
          <w:szCs w:val="24"/>
        </w:rPr>
        <w:instrText xml:space="preserve"> HYPERLINK "https://www.baidu.com/s?wd=%E6%8A%95%E6%A0%87%E6%8A%A5%E4%BB%B7&amp;tn=44039180_cpr&amp;fenlei=mv6quAkxTZn0IZRqIHckPjm4nH00T1dWuyfdP1u9uyPBrjKhmvDv0ZwV5Hcvrjm3rH6sPfKWUMw85HfYnjn4nH6sgvPsT6KdThsqpZwYTjCEQLGCpyw9Uz4Bmy-bIi4WUvYETgN-TLwGUv3EPj63P1RkPH6Y" \t "_blank" </w:instrText>
      </w:r>
      <w:r>
        <w:rPr>
          <w:rFonts w:eastAsia="仿宋" w:cs="Calibri"/>
          <w:szCs w:val="24"/>
        </w:rPr>
        <w:fldChar w:fldCharType="separate"/>
      </w:r>
      <w:r>
        <w:rPr>
          <w:rFonts w:hint="eastAsia" w:ascii="仿宋_GB2312" w:hAnsi="仿宋_GB2312" w:eastAsia="仿宋_GB2312" w:cs="仿宋_GB2312"/>
          <w:color w:val="0000FF"/>
          <w:kern w:val="0"/>
          <w:szCs w:val="21"/>
          <w:u w:val="single"/>
        </w:rPr>
        <w:t>投标报价</w:t>
      </w:r>
      <w:r>
        <w:rPr>
          <w:rFonts w:eastAsia="仿宋" w:cs="Calibri"/>
          <w:szCs w:val="24"/>
        </w:rPr>
        <w:fldChar w:fldCharType="end"/>
      </w:r>
      <w:r>
        <w:rPr>
          <w:rFonts w:hint="eastAsia" w:ascii="仿宋_GB2312" w:hAnsi="仿宋_GB2312" w:eastAsia="仿宋_GB2312" w:cs="仿宋_GB2312"/>
          <w:kern w:val="0"/>
          <w:szCs w:val="21"/>
        </w:rPr>
        <w:t>准确性、综合因素响应不全面等问题的，由投标人自行承担相应后果。</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6.3现场考察及参加标前答疑会所发生的费用及一切责任由投标人自行承担。</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7.适用法律</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本项目的采购人、采购代理机构、投标人、评标委员会的相关行为均受《中华人民共和国政府采购法》、《中华人民共和国政府采购法实施条例》、《政府采购货物和服务招标投标管理办法》及本项目本级和上级财政部门关于政府采购有关规定的约束，其权利受到上述法律法规的保护。</w:t>
      </w:r>
    </w:p>
    <w:p>
      <w:pPr>
        <w:keepNext/>
        <w:keepLines/>
        <w:spacing w:before="140" w:after="140" w:line="413" w:lineRule="auto"/>
        <w:jc w:val="center"/>
        <w:outlineLvl w:val="1"/>
        <w:rPr>
          <w:rFonts w:hint="eastAsia" w:ascii="仿宋_GB2312" w:hAnsi="仿宋_GB2312" w:eastAsia="仿宋_GB2312" w:cs="仿宋_GB2312"/>
          <w:b/>
          <w:sz w:val="32"/>
          <w:szCs w:val="28"/>
        </w:rPr>
      </w:pPr>
      <w:r>
        <w:rPr>
          <w:rFonts w:hint="eastAsia" w:ascii="仿宋_GB2312" w:hAnsi="仿宋_GB2312" w:eastAsia="仿宋_GB2312" w:cs="仿宋_GB2312"/>
          <w:b/>
          <w:sz w:val="32"/>
          <w:szCs w:val="28"/>
        </w:rPr>
        <w:t>三 招标文件</w:t>
      </w:r>
    </w:p>
    <w:p>
      <w:pPr>
        <w:tabs>
          <w:tab w:val="left" w:pos="312"/>
        </w:tabs>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8.招标文件构成</w:t>
      </w:r>
    </w:p>
    <w:p>
      <w:pPr>
        <w:tabs>
          <w:tab w:val="left" w:pos="312"/>
        </w:tabs>
        <w:adjustRightInd w:val="0"/>
        <w:snapToGrid w:val="0"/>
        <w:spacing w:line="360" w:lineRule="auto"/>
        <w:rPr>
          <w:rFonts w:hint="eastAsia" w:ascii="仿宋_GB2312" w:hAnsi="仿宋_GB2312" w:eastAsia="仿宋_GB2312" w:cs="仿宋_GB2312"/>
          <w:szCs w:val="24"/>
        </w:rPr>
      </w:pPr>
      <w:r>
        <w:rPr>
          <w:rFonts w:hint="eastAsia" w:ascii="仿宋_GB2312" w:hAnsi="仿宋_GB2312" w:eastAsia="仿宋_GB2312" w:cs="仿宋_GB2312"/>
          <w:szCs w:val="21"/>
        </w:rPr>
        <w:t>8.1招标</w:t>
      </w:r>
      <w:r>
        <w:rPr>
          <w:rFonts w:hint="eastAsia" w:ascii="仿宋_GB2312" w:hAnsi="仿宋_GB2312" w:eastAsia="仿宋_GB2312" w:cs="仿宋_GB2312"/>
          <w:szCs w:val="24"/>
        </w:rPr>
        <w:t>文件内容如下:</w:t>
      </w:r>
    </w:p>
    <w:p>
      <w:pPr>
        <w:numPr>
          <w:ilvl w:val="0"/>
          <w:numId w:val="4"/>
        </w:numPr>
        <w:adjustRightInd w:val="0"/>
        <w:snapToGrid w:val="0"/>
        <w:spacing w:line="360" w:lineRule="auto"/>
        <w:ind w:firstLine="420" w:firstLineChars="200"/>
        <w:rPr>
          <w:rFonts w:hint="eastAsia" w:ascii="仿宋_GB2312" w:hAnsi="仿宋_GB2312" w:eastAsia="仿宋_GB2312" w:cs="仿宋_GB2312"/>
          <w:szCs w:val="24"/>
        </w:rPr>
      </w:pPr>
      <w:r>
        <w:rPr>
          <w:rFonts w:hint="eastAsia" w:ascii="仿宋_GB2312" w:hAnsi="仿宋_GB2312" w:eastAsia="仿宋_GB2312" w:cs="仿宋_GB2312"/>
          <w:szCs w:val="24"/>
        </w:rPr>
        <w:t>投标人须知</w:t>
      </w:r>
    </w:p>
    <w:p>
      <w:pPr>
        <w:adjustRightInd w:val="0"/>
        <w:snapToGrid w:val="0"/>
        <w:spacing w:line="360" w:lineRule="auto"/>
        <w:ind w:firstLine="420" w:firstLineChars="200"/>
        <w:rPr>
          <w:rFonts w:hint="eastAsia" w:ascii="仿宋_GB2312" w:hAnsi="仿宋_GB2312" w:eastAsia="仿宋_GB2312" w:cs="仿宋_GB2312"/>
          <w:szCs w:val="24"/>
        </w:rPr>
      </w:pPr>
      <w:r>
        <w:rPr>
          <w:rFonts w:hint="eastAsia" w:ascii="仿宋_GB2312" w:hAnsi="仿宋_GB2312" w:eastAsia="仿宋_GB2312" w:cs="仿宋_GB2312"/>
          <w:szCs w:val="24"/>
        </w:rPr>
        <w:t>第二章 投标文件内容及格式</w:t>
      </w:r>
    </w:p>
    <w:p>
      <w:pPr>
        <w:adjustRightInd w:val="0"/>
        <w:snapToGrid w:val="0"/>
        <w:spacing w:line="360" w:lineRule="auto"/>
        <w:ind w:firstLine="420" w:firstLineChars="200"/>
        <w:rPr>
          <w:rFonts w:hint="eastAsia" w:ascii="仿宋_GB2312" w:hAnsi="仿宋_GB2312" w:eastAsia="仿宋_GB2312" w:cs="仿宋_GB2312"/>
          <w:szCs w:val="24"/>
        </w:rPr>
      </w:pPr>
      <w:r>
        <w:rPr>
          <w:rFonts w:hint="eastAsia" w:ascii="仿宋_GB2312" w:hAnsi="仿宋_GB2312" w:eastAsia="仿宋_GB2312" w:cs="仿宋_GB2312"/>
          <w:szCs w:val="24"/>
        </w:rPr>
        <w:t>第三章 服务需求</w:t>
      </w:r>
    </w:p>
    <w:p>
      <w:pPr>
        <w:adjustRightInd w:val="0"/>
        <w:snapToGrid w:val="0"/>
        <w:spacing w:line="360" w:lineRule="auto"/>
        <w:ind w:firstLine="420" w:firstLineChars="200"/>
        <w:rPr>
          <w:rFonts w:hint="eastAsia" w:ascii="仿宋_GB2312" w:hAnsi="仿宋_GB2312" w:eastAsia="仿宋_GB2312" w:cs="仿宋_GB2312"/>
          <w:szCs w:val="24"/>
        </w:rPr>
      </w:pPr>
      <w:r>
        <w:rPr>
          <w:rFonts w:hint="eastAsia" w:ascii="仿宋_GB2312" w:hAnsi="仿宋_GB2312" w:eastAsia="仿宋_GB2312" w:cs="仿宋_GB2312"/>
          <w:szCs w:val="24"/>
        </w:rPr>
        <w:t>第四章 评标方法</w:t>
      </w:r>
    </w:p>
    <w:p>
      <w:pPr>
        <w:adjustRightInd w:val="0"/>
        <w:snapToGrid w:val="0"/>
        <w:spacing w:line="360" w:lineRule="auto"/>
        <w:ind w:firstLine="420" w:firstLineChars="200"/>
        <w:rPr>
          <w:rFonts w:hint="eastAsia" w:ascii="仿宋_GB2312" w:hAnsi="仿宋_GB2312" w:eastAsia="仿宋_GB2312" w:cs="仿宋_GB2312"/>
          <w:szCs w:val="24"/>
        </w:rPr>
      </w:pPr>
      <w:r>
        <w:rPr>
          <w:rFonts w:hint="eastAsia" w:ascii="仿宋_GB2312" w:hAnsi="仿宋_GB2312" w:eastAsia="仿宋_GB2312" w:cs="仿宋_GB2312"/>
          <w:szCs w:val="24"/>
        </w:rPr>
        <w:t>第五章 政府采购合同条款及格式</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★8.2投标人应认真阅读招标文件所有的事项、格式、条款等。如投标人没有按照招标文件要求提交资料，或者投标文件没有对招标文件做出实质性响应，可能导致其投标被认定为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9.招标文件的澄清与修改</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9.1采购人或者采购代理机构可以对已发出的招标文件进行澄清或者修改。澄清或者修改的内容可能影响投标文件编制的，应当在投标截止时间至少15日前，在原公告发布媒体上发布变更公告，并通知所有获取招标文件的潜在投标人；不足15日的，采购人或者采购代理机构应当顺延提交投标文件的截止时间。</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9.2澄清或者修改的内容为招标文件的组成部分，对所有招标文件的收受人具有约束力。</w:t>
      </w:r>
    </w:p>
    <w:p>
      <w:pPr>
        <w:keepNext/>
        <w:keepLines/>
        <w:spacing w:before="140" w:after="140" w:line="413" w:lineRule="auto"/>
        <w:jc w:val="center"/>
        <w:outlineLvl w:val="1"/>
        <w:rPr>
          <w:rFonts w:hint="eastAsia" w:ascii="仿宋_GB2312" w:hAnsi="仿宋_GB2312" w:eastAsia="仿宋_GB2312" w:cs="仿宋_GB2312"/>
          <w:b/>
          <w:sz w:val="32"/>
          <w:szCs w:val="28"/>
        </w:rPr>
      </w:pPr>
      <w:r>
        <w:rPr>
          <w:rFonts w:hint="eastAsia" w:ascii="仿宋_GB2312" w:hAnsi="仿宋_GB2312" w:eastAsia="仿宋_GB2312" w:cs="仿宋_GB2312"/>
          <w:b/>
          <w:sz w:val="32"/>
          <w:szCs w:val="28"/>
        </w:rPr>
        <w:t>四 投标文件的编制</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10.投标范围</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10.1项目有分包的，投标人可对招标文件其中某一个分包或几个分包进行投标。</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★10.2投标人应当对所投分包在招标文件“服务需求”中所列的所有服务内容进行投标，如仅响应分包中某一部分内容，其该包投标将被认定为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10.3无论招标文件第三章 服务需求中是否要求，投标人所投的服务均应符合国家强制性标准。</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11.投标文件构成</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★11.1投标人应完整地按招标文件提供的投标文件格式及要求编写投标文件。投标文件应包括资格证明文件、符合性证明文件、其它材料三部分。具体见第二章 投标文件内容及格式。</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★11.2投标人应按招标文件提供的格式编写投标文件。招标文件提供标准格式的按标准格式填列，未提供标准格式的可自行拟定。</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11.3样品或演示要求详见投标人须知表11.3条。</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12.投标报价</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12.1所有投标均按投标人须知表12.1条中要求货币进行报价。投标人的投标报价应遵守《中华人民共和国价格法》。同时，根据《中华人民共和国政府采购法》第三条的规定，为保证公平竞争，如有服务主体部分的赠与行为，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12.2投标人应按招标文件要求在相关表格中标明投标服务及伴随货物的单价和总价，并由法定代表人（非法人组织的负责人）或其委托代理人签署。</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12.3投标人所报的各分项投标单价在合同履行过程中是固定不变的，不得以任何理由予以变更。任何包含价格调整要求的投标，其投标将被认定为</w:t>
      </w:r>
      <w:r>
        <w:rPr>
          <w:rFonts w:hint="eastAsia" w:ascii="仿宋_GB2312" w:hAnsi="仿宋_GB2312" w:eastAsia="仿宋_GB2312" w:cs="仿宋_GB2312"/>
          <w:b/>
          <w:bCs/>
          <w:szCs w:val="21"/>
        </w:rPr>
        <w:t>投标无效。</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12.4每种服务只能有一个投标报价。采购人不接受具有附加条件的报价。</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12.5除非招标文件另有规定，报价原则上精确到小数点后两位。</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★13.投标保证金</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13.1投标人应提交投标人须知表13.1条中规定的投标保证金，并作为其投标的一部分。</w:t>
      </w:r>
    </w:p>
    <w:p>
      <w:pPr>
        <w:adjustRightInd w:val="0"/>
        <w:snapToGrid w:val="0"/>
        <w:spacing w:line="360" w:lineRule="auto"/>
        <w:jc w:val="left"/>
        <w:rPr>
          <w:rFonts w:hint="eastAsia" w:ascii="仿宋_GB2312" w:hAnsi="仿宋_GB2312" w:eastAsia="仿宋_GB2312" w:cs="仿宋_GB2312"/>
          <w:szCs w:val="21"/>
        </w:rPr>
      </w:pPr>
      <w:r>
        <w:rPr>
          <w:rFonts w:hint="eastAsia" w:ascii="仿宋_GB2312" w:hAnsi="仿宋_GB2312" w:eastAsia="仿宋_GB2312" w:cs="仿宋_GB2312"/>
          <w:szCs w:val="21"/>
        </w:rPr>
        <w:t>13.2投标保证金缴纳人、招标文件领取人、投标登记人和投标人必须为同一组织机构或联合体内不同成员单位，否则将视同未按招标文件规定交纳投标保证金。</w:t>
      </w:r>
    </w:p>
    <w:p>
      <w:pPr>
        <w:adjustRightInd w:val="0"/>
        <w:snapToGrid w:val="0"/>
        <w:spacing w:line="360" w:lineRule="auto"/>
        <w:jc w:val="left"/>
        <w:rPr>
          <w:rFonts w:hint="eastAsia" w:ascii="仿宋_GB2312" w:hAnsi="仿宋_GB2312" w:eastAsia="仿宋_GB2312" w:cs="仿宋_GB2312"/>
          <w:szCs w:val="21"/>
        </w:rPr>
      </w:pPr>
      <w:r>
        <w:rPr>
          <w:rFonts w:hint="eastAsia" w:ascii="仿宋_GB2312" w:hAnsi="仿宋_GB2312" w:eastAsia="仿宋_GB2312" w:cs="仿宋_GB2312"/>
          <w:szCs w:val="21"/>
        </w:rPr>
        <w:t>13.3投标人存在下列情形的，投标保证金不予退还:</w:t>
      </w:r>
    </w:p>
    <w:p>
      <w:pPr>
        <w:adjustRightInd w:val="0"/>
        <w:snapToGrid w:val="0"/>
        <w:spacing w:line="360" w:lineRule="auto"/>
        <w:jc w:val="left"/>
        <w:rPr>
          <w:rFonts w:hint="eastAsia" w:ascii="仿宋_GB2312" w:hAnsi="仿宋_GB2312" w:eastAsia="仿宋_GB2312" w:cs="仿宋_GB2312"/>
          <w:szCs w:val="21"/>
        </w:rPr>
      </w:pPr>
      <w:r>
        <w:rPr>
          <w:rFonts w:hint="eastAsia" w:ascii="仿宋_GB2312" w:hAnsi="仿宋_GB2312" w:eastAsia="仿宋_GB2312" w:cs="仿宋_GB2312"/>
          <w:szCs w:val="21"/>
        </w:rPr>
        <w:t>（1）在投标有效期内，投标人撤销投标的;</w:t>
      </w:r>
    </w:p>
    <w:p>
      <w:pPr>
        <w:adjustRightInd w:val="0"/>
        <w:snapToGrid w:val="0"/>
        <w:spacing w:line="360" w:lineRule="auto"/>
        <w:jc w:val="left"/>
        <w:rPr>
          <w:rFonts w:hint="eastAsia" w:ascii="仿宋_GB2312" w:hAnsi="仿宋_GB2312" w:eastAsia="仿宋_GB2312" w:cs="仿宋_GB2312"/>
          <w:szCs w:val="21"/>
        </w:rPr>
      </w:pPr>
      <w:r>
        <w:rPr>
          <w:rFonts w:hint="eastAsia" w:ascii="仿宋_GB2312" w:hAnsi="仿宋_GB2312" w:eastAsia="仿宋_GB2312" w:cs="仿宋_GB2312"/>
          <w:szCs w:val="21"/>
        </w:rPr>
        <w:t>（2）中标后不按本须知第34条的规定与采购人签订合同的;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（3）中标后不按本须知第35条的规定提交履约保证金的;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（4）中标后不按本须知第36条的规定缴纳采购代理服务费的;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（5）存在其他违法违规行为的。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13.4联合体投标的，可以由联合体中的一方或者共同提交投标保证金。以一方名义提交投标保证金的，对联合体各方均具有约束力。</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13.5投标保证金的退还</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13.5.1中标人应在与采购人签订合同之日起5个工作日内，及时联系保证金收受机构办理投标保证金退还手续。</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13.5.2未中标投标人的投标保证金将在中标通知书发出之日暨中标结果公告公布之日起5个工作日内退还。投标人应及时联系保证金收受机构办理退还投标保证金手续。</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13.5.3投标人在投标截止时间前撤回已提交的投标文件的，投标人应自采购人或者采购代理机构收到投标人书面撤回通知之日起５个工作日内，及时联系保证金收受机构办理投标保证金退还手续。</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13.5.4政府采购投标担保函不予退回。</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13.6因投标人自身原因导致无法及时退还的，采购人或采购代理机构将不承担相应责任。</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14.证明投标标的的合格性和符合招标文件规定的技术文件</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14.1投标人应提交证明文件，证明其投标内容符合招标文件规定。该证明文件是投标文件的一部分。</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14.2上条所述的证明文件，可以是文字资料、图纸和数据。</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15.投标有效期</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15.1投标应在投标人须知表15.1条中规定的投标有效期内保持有效。投标有效期不满足要求的投标，其投标将被认定为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15.2在特殊情况下，采购人或采购代理机构可根据实际情况，在原投标有效期截止之前，要求投标人延长投标文件的有效期。接受该要求的投标人将不会被要求和允许修正其投标，且本须知中有关投标保证金的要求须在延长的有效期内继续有效。投标人可以拒绝延长投标有效期的要求，其投标保证金将及时退还。上述要求和答复都应以书面形式提交。</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16.投标文件的签署及规定（适用纸质投标）</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16.1投标人应按投标人须知表16.1款中的规定，准备和递交投标文件正本、副本和电子文档。</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★16.2每份投标文件封皮须清楚地标明“正本”或“副本”。若正本和副本不符，以正本为准。</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16.3投标文件的正本需打印或用不褪色墨水书写，并由投标人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投标人的法定代表人（非法人组织负责人）或其委托代理人在每一修改处签字。投标文件的副本可采用正本的复印件。</w:t>
      </w:r>
    </w:p>
    <w:p>
      <w:pPr>
        <w:keepNext/>
        <w:keepLines/>
        <w:spacing w:before="140" w:after="140" w:line="413" w:lineRule="auto"/>
        <w:jc w:val="center"/>
        <w:outlineLvl w:val="1"/>
        <w:rPr>
          <w:rFonts w:hint="eastAsia" w:ascii="仿宋_GB2312" w:hAnsi="仿宋_GB2312" w:eastAsia="仿宋_GB2312" w:cs="仿宋_GB2312"/>
          <w:b/>
          <w:sz w:val="32"/>
          <w:szCs w:val="28"/>
        </w:rPr>
      </w:pPr>
      <w:r>
        <w:rPr>
          <w:rFonts w:hint="eastAsia" w:ascii="仿宋_GB2312" w:hAnsi="仿宋_GB2312" w:eastAsia="仿宋_GB2312" w:cs="仿宋_GB2312"/>
          <w:b/>
          <w:sz w:val="32"/>
          <w:szCs w:val="28"/>
        </w:rPr>
        <w:t>五 投标文件的递交</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17.投标文件的密封和标记（适用纸质投标）</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17.1投标人应将投标文件密封，将正本和所有的副本、电子文档密封，并进行包封。</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17.2 所有包装封皮上均应：</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（1）注明项目名称、项目编号、包号、投标人名称。</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（2）加盖投标人单位公章。</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17.3如果投标人未按上述要求密封，其投标文件将被</w:t>
      </w:r>
      <w:r>
        <w:rPr>
          <w:rFonts w:hint="eastAsia" w:ascii="仿宋_GB2312" w:hAnsi="仿宋_GB2312" w:eastAsia="仿宋_GB2312" w:cs="仿宋_GB2312"/>
          <w:b/>
          <w:bCs/>
          <w:szCs w:val="21"/>
        </w:rPr>
        <w:t>拒绝接收</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18.投标截止</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18.1投标人应在投标人须知表18.1中规定的递交投标文件截止时间前，将投标文件递交到投标人须知表18.1中规定的地点。</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18.2采购人和采购代理机构有权按本须知的规定，延迟投标截止时间。在此情况下，采购人、采购代理机构和投标人受投标截止时间制约的所有权利和义务均应延长至新的截止时间。</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19. 投标文件的接收、修改与撤回（适用纸质投标）</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19.1在投标截止时间后送达的投标文件，采购人和采购代理机构将</w:t>
      </w:r>
      <w:r>
        <w:rPr>
          <w:rFonts w:hint="eastAsia" w:ascii="仿宋_GB2312" w:hAnsi="仿宋_GB2312" w:eastAsia="仿宋_GB2312" w:cs="仿宋_GB2312"/>
          <w:b/>
          <w:bCs/>
          <w:szCs w:val="21"/>
        </w:rPr>
        <w:t>拒绝接收</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19.2采购人或者采购代理机构收到投标文件后，应当如实记载投标文件的送达时间和密封情况，并向投标人出具以下签收回执。</w:t>
      </w:r>
    </w:p>
    <w:p>
      <w:pPr>
        <w:adjustRightInd w:val="0"/>
        <w:snapToGrid w:val="0"/>
        <w:spacing w:line="360" w:lineRule="auto"/>
        <w:jc w:val="center"/>
        <w:rPr>
          <w:rFonts w:hint="eastAsia" w:ascii="仿宋_GB2312" w:hAnsi="仿宋_GB2312" w:eastAsia="仿宋_GB2312" w:cs="仿宋_GB2312"/>
          <w:b/>
          <w:bCs/>
          <w:szCs w:val="21"/>
        </w:rPr>
      </w:pPr>
      <w:r>
        <w:rPr>
          <w:rFonts w:hint="eastAsia" w:ascii="仿宋_GB2312" w:hAnsi="仿宋_GB2312" w:eastAsia="仿宋_GB2312" w:cs="仿宋_GB2312"/>
          <w:b/>
          <w:bCs/>
          <w:szCs w:val="21"/>
        </w:rPr>
        <w:t>接收投标文件回执单</w:t>
      </w:r>
    </w:p>
    <w:tbl>
      <w:tblPr>
        <w:tblStyle w:val="20"/>
        <w:tblW w:w="7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4"/>
        <w:gridCol w:w="53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644"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项目编号</w:t>
            </w:r>
          </w:p>
        </w:tc>
        <w:tc>
          <w:tcPr>
            <w:tcW w:w="5396"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644"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项目名称</w:t>
            </w:r>
          </w:p>
        </w:tc>
        <w:tc>
          <w:tcPr>
            <w:tcW w:w="5396"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644"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投标人名称</w:t>
            </w:r>
          </w:p>
        </w:tc>
        <w:tc>
          <w:tcPr>
            <w:tcW w:w="5396"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644"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递交时间</w:t>
            </w:r>
          </w:p>
        </w:tc>
        <w:tc>
          <w:tcPr>
            <w:tcW w:w="5396"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jc w:val="center"/>
        </w:trPr>
        <w:tc>
          <w:tcPr>
            <w:tcW w:w="1644"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接收单位</w:t>
            </w:r>
          </w:p>
        </w:tc>
        <w:tc>
          <w:tcPr>
            <w:tcW w:w="5396"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1644"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接收人签字</w:t>
            </w:r>
          </w:p>
        </w:tc>
        <w:tc>
          <w:tcPr>
            <w:tcW w:w="5396"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jc w:val="center"/>
              <w:rPr>
                <w:rFonts w:ascii="仿宋_GB2312" w:hAnsi="仿宋_GB2312" w:eastAsia="仿宋_GB2312" w:cs="仿宋_GB2312"/>
                <w:kern w:val="2"/>
                <w:sz w:val="21"/>
                <w:szCs w:val="21"/>
                <w:lang w:val="en-US" w:eastAsia="zh-CN" w:bidi="ar-SA"/>
              </w:rPr>
            </w:pPr>
          </w:p>
        </w:tc>
      </w:tr>
    </w:tbl>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19.3递交投标文件以后，如果投标人要进行修改或撤回投标，须提出书面申请并在投标截止时间前送达开标地点，投标人对投标文件的修改或撤回通知应按本须知规定编制、密封、标记。采购人和采购代理机构将予以接收，并视为投标文件的组成部分。否则，修改后的投标文件或撤回行为无效。</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19.4在投标截止时间之后，投标人不得对其投标文件做任何修改。</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19.5 采购人和采购代理机构对所接收并当众宣读投标内容的投标文件概不退回。</w:t>
      </w:r>
    </w:p>
    <w:p>
      <w:pPr>
        <w:keepNext/>
        <w:keepLines/>
        <w:spacing w:before="140" w:after="140" w:line="413" w:lineRule="auto"/>
        <w:jc w:val="center"/>
        <w:outlineLvl w:val="1"/>
        <w:rPr>
          <w:rFonts w:hint="eastAsia" w:ascii="仿宋_GB2312" w:hAnsi="仿宋_GB2312" w:eastAsia="仿宋_GB2312" w:cs="仿宋_GB2312"/>
          <w:b/>
          <w:sz w:val="32"/>
          <w:szCs w:val="28"/>
        </w:rPr>
      </w:pPr>
      <w:r>
        <w:rPr>
          <w:rFonts w:hint="eastAsia" w:ascii="仿宋_GB2312" w:hAnsi="仿宋_GB2312" w:eastAsia="仿宋_GB2312" w:cs="仿宋_GB2312"/>
          <w:b/>
          <w:sz w:val="32"/>
          <w:szCs w:val="28"/>
        </w:rPr>
        <w:t>六 开标及评标</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20.开标</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20.1采购人和采购代理机构将按投标人须知表20.1条中规定的开标时间和地点组织公开开标并邀请所有投标人代表参加。</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投标人不足 3 家的，不得开标。评标委员会成员不得参加开标活动。</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20.2开标时，由投标人或其推选的代表检查投标文件的密封情况，经记录后，由采购人或采购代理机构当众拆封投标文件，宣读投标人名称、投标价格及招标文件规定的内容。对于投标人在投标截止时间前递交的投标声明，在开标时当众宣读，评标时有效。</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未宣读投标价格、价格折扣等实质内容，评标时不予承认。</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20.3采购人或采购代理机构将对开标过程进行记录，由参加开标的各投标人代表和相关工作人员签字确认，并存档备查。投标人未参加开标或未签字确认的，视同认可开标结果。</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20.4投标人代表对开标过程和开标记录有疑义，以及认为采购人、采购代理机构相关工作人员有需要回避的情形的，应当场提出询问或者回避申请。</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21.组建评标委员会</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按照《中华人民共和国政府采购法》、《中华人民共和国政府采购法实施条例》有关规定依法组建评标委员会，负责本项目评标工作。本项目评标委员会组成详见投标人须知表21条。</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22.资格审查</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22.1采购人或采购代理机构依据法律法规和招标文件中规定的内容，对投标人的资格进行审查，投标人应按照第二章《投标文件内容及格式》中的相应要求提交资格证明材料。未通过资格审查的投标人不能进入评标，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；通过资格审查的投标人不足3家的，不得评标。</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22.2采购人或采购代理机构将在递交投标文件截止时间前一个工作日至资格性审查结束前的期间内查询投标人的信用记录。投标人存在不良信用记录的，其投标将被认定为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22.2.1不良信用记录指：投标人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以联合体形式参加投标的，联合体任何成员存在以上不良信用记录的，联合体投标将被认定为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22.2.2 查询及记录方式：采购人或采购代理机构经办人将查询网页打印并存档备查。投标人不良信用记录以采购人或采购代理机构查询结果为准。</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在本招标文件规定的查询时间之后，网站信息发生的任何变更均不再作为评标依据。</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投标人自行提供的与网站信息不一致的其他证明材料亦不作为资格审查依据。</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23.符合性审查</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 xml:space="preserve">    符合性审查是指依据招标文件的规定，从投标文件的有效性和完整性对招标文件的响应程度进行审查，以确定是否对招标文件的实质性要求做出响应。投标人应按照第二章《投标文件内容及格式》中的相应要求，提交符合性证明材料。未通过符合性审查的投标人不能进入下一阶段评审，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；通过符合性审查的投标人数量不足3家的，不得作进一步的比较和评价。</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24.投标文件的澄清</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24.1在评标期间，评标委员会将以书面方式要求投标人对其投标文件中含义不明确、对同类问题表述不一致或者有明显文字和计算错误的内容作必要的澄清、说明或补正。投标人的澄清、说明或补正应在评标委员会规定的时间内以书面方式进行，并不得超出投标文件范围或者改变投标文件的实质性内容。投标人拒不进行澄清、说明、补正的，或者不能在规定时间内作出书面澄清、说明、补正的，其投标将被作为无效投标处理。</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24.2投标人的澄清、说明或补正将作为投标文件的一部分。</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24.3投标文件报价出现前后不一致的，按照下列规定修正：</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（1）投标文件中开标一览表内容与投标文件中相应内容不一致的，以开标一览表为准；</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（2）大写金额和小写金额不一致的，以大写金额为准；</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（3）单价金额小数点或者百分比有明显错位的，以开标一览表的总价为准，并修改单价；</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（4）总价金额与按单价汇总金额不一致的，以单价金额计算结果为准。</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同时出现两种以上不一致的，按照前款规定的顺序修正。修正后的报价经投标人确认后产生约束力，投标人不确认的，其投标将被认定为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4"/>
        </w:rPr>
      </w:pPr>
      <w:r>
        <w:rPr>
          <w:rFonts w:hint="eastAsia" w:ascii="仿宋_GB2312" w:hAnsi="仿宋_GB2312" w:eastAsia="仿宋_GB2312" w:cs="仿宋_GB2312"/>
          <w:szCs w:val="21"/>
        </w:rPr>
        <w:t>24.4</w:t>
      </w:r>
      <w:r>
        <w:rPr>
          <w:rFonts w:hint="eastAsia" w:ascii="仿宋_GB2312" w:hAnsi="仿宋_GB2312" w:eastAsia="仿宋_GB2312" w:cs="仿宋_GB2312"/>
          <w:b/>
          <w:bCs/>
          <w:szCs w:val="21"/>
        </w:rPr>
        <w:t>评标委员会认为</w:t>
      </w:r>
      <w:r>
        <w:rPr>
          <w:rFonts w:hint="eastAsia" w:ascii="仿宋_GB2312" w:hAnsi="仿宋_GB2312" w:eastAsia="仿宋_GB2312" w:cs="仿宋_GB2312"/>
          <w:szCs w:val="21"/>
        </w:rPr>
        <w:t>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w:t>
      </w:r>
      <w:r>
        <w:rPr>
          <w:rFonts w:hint="eastAsia" w:ascii="仿宋_GB2312" w:hAnsi="仿宋_GB2312" w:eastAsia="仿宋_GB2312" w:cs="仿宋_GB2312"/>
          <w:b/>
          <w:bCs/>
          <w:szCs w:val="21"/>
        </w:rPr>
        <w:t>无效投标</w:t>
      </w:r>
      <w:r>
        <w:rPr>
          <w:rFonts w:hint="eastAsia" w:ascii="仿宋_GB2312" w:hAnsi="仿宋_GB2312" w:eastAsia="仿宋_GB2312" w:cs="仿宋_GB2312"/>
          <w:szCs w:val="21"/>
        </w:rPr>
        <w:t>处理。提交证明材料的合理时间按第四章 评标方法规定执行。</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25样品及演示</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25.1投标人须知表11.3条中要求投标人提供样品的，按照投标人须知表25.1条中样品的评审方法以及评审标准进行评审。</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25.2采购活动结束后，对于未中标人提供的样品，应当及时退还或者经未中标人同意后自行处理；对于中标人提供的样品，应当按招标文件规定进行保管、封存，并作为履约验收的参考。具体内容见投标人须知表11.3条。</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25.3演示的评审方法以及评审标准具体内容见投标人须知表25.1条。</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26.投标无效</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26.1在比较与评价之前，根据本须知的规定，评标委员会将审查每份投标文件是否实质上响应了招标文件的要求。</w:t>
      </w:r>
    </w:p>
    <w:p>
      <w:pPr>
        <w:adjustRightInd w:val="0"/>
        <w:snapToGrid w:val="0"/>
        <w:spacing w:line="360" w:lineRule="auto"/>
        <w:ind w:firstLine="420" w:firstLineChars="200"/>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实质性要求是指招标文件中带有★号标识内容（包括本级及其下级编号中所有内容）等文字说明的要求。</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kern w:val="0"/>
          <w:szCs w:val="21"/>
        </w:rPr>
        <w:t>对招标文件的实质性要求进行响应是指与招标文件中带有★号标识内容的文字说明、条条、条件和规格等要求相符。</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如果投标文件没有对招标文件的实质性要求进行响应，将作为</w:t>
      </w:r>
      <w:r>
        <w:rPr>
          <w:rFonts w:hint="eastAsia" w:ascii="仿宋_GB2312" w:hAnsi="仿宋_GB2312" w:eastAsia="仿宋_GB2312" w:cs="仿宋_GB2312"/>
          <w:b/>
          <w:bCs/>
          <w:szCs w:val="21"/>
        </w:rPr>
        <w:t>无效投标</w:t>
      </w:r>
      <w:r>
        <w:rPr>
          <w:rFonts w:hint="eastAsia" w:ascii="仿宋_GB2312" w:hAnsi="仿宋_GB2312" w:eastAsia="仿宋_GB2312" w:cs="仿宋_GB2312"/>
          <w:szCs w:val="21"/>
        </w:rPr>
        <w:t>处理，投标人不得再对投标文件进行任何修正从而使其投标成为实质上响应的投标。</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评标委员会决定投标的响应性只根据招标文件要求、投标文件内容及财政主管部门指定媒体发布的相关信息。</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26.2如发现下列情况之一的，其投标将被认定为</w:t>
      </w:r>
      <w:r>
        <w:rPr>
          <w:rFonts w:hint="eastAsia" w:ascii="仿宋_GB2312" w:hAnsi="仿宋_GB2312" w:eastAsia="仿宋_GB2312" w:cs="仿宋_GB2312"/>
          <w:b/>
          <w:bCs/>
          <w:szCs w:val="21"/>
        </w:rPr>
        <w:t>投标无效</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（1）未按招标文件的规定提交投标保证金的；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（2）未按照招标文件规定要求签署、盖章的；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（3）投标人的报价超过了招标文件中规定的预算金额或者最高限价的；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（4）不具备招标文件中规定的资格要求的；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（5）不符合法律、法规和招标文件中规定的其他实质性要求的。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（6）与其他投标人串通投标，或者与采购人串通投标；</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（7）评标委员会认为投标人的报价明显低于其他通过符合性审查投标人的报价，有可能影响履约的，且投标人未按照规定证明其报价合理性的；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（8）投标文件含有采购人不能接受的附加条件的；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（9）属于法律、法规和招标文件规定的其他投标无效情形；</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27.比较与评价</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27.1经符合性审查合格的投标文件，评标委员会将根据招标文件确定的评标方法和标准，对其技术部分和商务部分作进一步的比较和评价。</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27.2评标严格按照招标文件的要求和条件进行。根据实际情况，在投标人须知表27.2条中规定采用下列一种评标方法，详细评标标准见第四章 评标方法：</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（1）最低评标价法，是指投标文件满足招标文件全部实质性要求，且投标报价最低的投标人为中标候选人的评标方法。</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（2）综合评分法，是指投标文件满足招标文件全部实质性要求，且按照评审因素的量化指标评审得分最高的投标人为中标候选人的评标方法。</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27.3 根据《财政部 工业和信息化部关于印发&lt;政府采购促进中小企业发展管理办法&gt;的通知》（财库[2020]46号、《财政部司法部关于政府采购支持监狱企业发展有关问题的通知》（财库〔2014〕68 号）、《三部门联合发布关于促进残疾人就业政府采购政策的通知》（财库〔2017〕141 号）和《关于进一步促进政府采购公平竞争支持企业纾困发展的通知》（辽政采〔2022〕119 号）的规定，对于非专门面向中小企业的项目，在满足价格扣除条件且在投标文件中提交了《中小企业声明函》，或省级以上监狱管理局、戒毒管理局（含新疆生产建设兵团）出具的属于监狱企业的证明文件，或《残疾人福利性单位声明函》的投标人，其投标报价扣除 10-20%后参与评审。具体详见第四章 评标方法。</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27.4 依据财政部、发展改革委、生态环境部等部门发布的品目清单和国家确定的认证机构出具的、处于有效期之内的节能产品、环境标志产品认证证书实施政府优先采购。具体优先采购办法详见第四章 评标方法。</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27.5根据财政部、辽宁省财政厅相关规定，对于列入《创新产品和服务目录》内的产品、服务实施政府优先采购。具体优先采购办法详见第四章 评标方法。</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28.废标</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出现下列情形之一，将导致项目</w:t>
      </w:r>
      <w:r>
        <w:rPr>
          <w:rFonts w:hint="eastAsia" w:ascii="仿宋_GB2312" w:hAnsi="仿宋_GB2312" w:eastAsia="仿宋_GB2312" w:cs="仿宋_GB2312"/>
          <w:b/>
          <w:bCs/>
          <w:szCs w:val="21"/>
        </w:rPr>
        <w:t>废标</w:t>
      </w:r>
      <w:r>
        <w:rPr>
          <w:rFonts w:hint="eastAsia" w:ascii="仿宋_GB2312" w:hAnsi="仿宋_GB2312" w:eastAsia="仿宋_GB2312" w:cs="仿宋_GB2312"/>
          <w:szCs w:val="21"/>
        </w:rPr>
        <w:t>：</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（1）符合专业条件的投标人或者对招标文件做实质性响应的投标人不足3家；</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（2）出现影响采购公正的违法、违规行为的；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（3）投标人的报价均超过了采购预算或最高限价，采购人不能支付的；</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（4）因重大变故，采购任务取消的。</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29.中标候选人的推荐原则及标准</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29.1除第32条规定外，评标委员会将根据评标标准，对实质上响应招标文件的投标人按下列方法进行排序，推荐中标候选人：</w:t>
      </w:r>
    </w:p>
    <w:p>
      <w:pPr>
        <w:adjustRightInd w:val="0"/>
        <w:snapToGrid w:val="0"/>
        <w:spacing w:line="360" w:lineRule="auto"/>
        <w:ind w:firstLine="210" w:firstLineChars="100"/>
        <w:rPr>
          <w:rFonts w:hint="eastAsia" w:ascii="仿宋_GB2312" w:hAnsi="仿宋_GB2312" w:eastAsia="仿宋_GB2312" w:cs="仿宋_GB2312"/>
          <w:szCs w:val="21"/>
        </w:rPr>
      </w:pPr>
      <w:r>
        <w:rPr>
          <w:rFonts w:hint="eastAsia" w:ascii="仿宋_GB2312" w:hAnsi="仿宋_GB2312" w:eastAsia="仿宋_GB2312" w:cs="仿宋_GB2312"/>
          <w:szCs w:val="21"/>
        </w:rPr>
        <w:t>（1）采用最低评标价法的，除了算数修正和落实政府采购政策需进行的价格扣除外，不对投标人的投标价格进行任何调整。评标结果按修正和扣除后的投标报价由低到高顺序排序。报价相同的，按第四章评标办法规定执行。</w:t>
      </w:r>
    </w:p>
    <w:p>
      <w:pPr>
        <w:adjustRightInd w:val="0"/>
        <w:snapToGrid w:val="0"/>
        <w:spacing w:line="360" w:lineRule="auto"/>
        <w:ind w:firstLine="210" w:firstLineChars="100"/>
        <w:rPr>
          <w:rFonts w:hint="eastAsia" w:ascii="仿宋_GB2312" w:hAnsi="仿宋_GB2312" w:eastAsia="仿宋_GB2312" w:cs="仿宋_GB2312"/>
          <w:szCs w:val="21"/>
        </w:rPr>
      </w:pPr>
      <w:r>
        <w:rPr>
          <w:rFonts w:hint="eastAsia" w:ascii="仿宋_GB2312" w:hAnsi="仿宋_GB2312" w:eastAsia="仿宋_GB2312" w:cs="仿宋_GB2312"/>
          <w:szCs w:val="21"/>
        </w:rPr>
        <w:t>（2）采用综合评分法的，评标结果按评审后得分由高到低顺序排列。得分相同的，按第四章评标办法规定执行。</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29.2评标委员会将根据评标标准，按投标人须知表29.2条中规定的数量推荐中标候选人。</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29.3因推荐中标候选人名单产生其他问题，由评标委员会集体研究处理。</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30.保密原则</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30.1评标将在严格保密的情况下进行。</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30.2有关人员应当遵守评标工作纪律，不得泄露评审文件、评标情况和评标过程中获悉的国家秘密、商业秘密。</w:t>
      </w:r>
    </w:p>
    <w:p>
      <w:pPr>
        <w:keepNext/>
        <w:keepLines/>
        <w:spacing w:before="140" w:after="140" w:line="413" w:lineRule="auto"/>
        <w:jc w:val="center"/>
        <w:outlineLvl w:val="1"/>
        <w:rPr>
          <w:rFonts w:hint="eastAsia" w:ascii="仿宋_GB2312" w:hAnsi="仿宋_GB2312" w:eastAsia="仿宋_GB2312" w:cs="仿宋_GB2312"/>
          <w:b/>
          <w:sz w:val="32"/>
          <w:szCs w:val="28"/>
        </w:rPr>
      </w:pPr>
      <w:r>
        <w:rPr>
          <w:rFonts w:hint="eastAsia" w:ascii="仿宋_GB2312" w:hAnsi="仿宋_GB2312" w:eastAsia="仿宋_GB2312" w:cs="仿宋_GB2312"/>
          <w:b/>
          <w:sz w:val="32"/>
          <w:szCs w:val="28"/>
        </w:rPr>
        <w:t>七 确定中标</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31.确定中标人</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由采购人或者采购人委托评标委员会按照投标人须知表31中规定的方式确定中标人。</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采购人在收到评标报告5个工作日内未按评标报告推荐的中标候选人顺序确定中标人，又不能说明合法理由的，视同按评标报告推荐的顺序确定排名第一的中标候选人为中标人。</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★32.采购任务取消</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因重大变故采购任务取消时，采购人有权拒绝任何供应商中标，且对受影响的投标人不承担任何责任。</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33.中标通知书</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33.1采购人或者采购代理机构应当自中标人确定之日起2个工作日内，在辽宁政府采购网及其地方分网媒体上公告中标结果。同时向中标人发出中标通知书。</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33.2中标通知书是合同的组成部分。</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34.签订合同</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34.1中标人应当自发出中标通知书之日起 30 日内，与采购人签订书面合同。</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34.2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34.3中标人拒绝与采购人签订合同的，采购人可以按照评标报告推荐的中标候选人名单排序，确定下一中标候选人为中标人，也可以重新开展政府采购活动。</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35.履约保证金</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35.1中标人应按照投标人须知表35.1条规定向采购人缴纳履约保证金。</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35.2 如果中标人没有按照上述履约保证金的规定执行，将视为拒绝签订合同并放弃中标资格，中标人的投标保证金将不予退还。在此情况下，采购人可确定下一中标候选人为中标人，也可以重新开展采购活动。</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szCs w:val="21"/>
        </w:rPr>
        <w:t>★</w:t>
      </w:r>
      <w:r>
        <w:rPr>
          <w:rFonts w:hint="eastAsia" w:ascii="仿宋_GB2312" w:hAnsi="仿宋_GB2312" w:eastAsia="仿宋_GB2312" w:cs="仿宋_GB2312"/>
          <w:b/>
          <w:bCs/>
          <w:szCs w:val="21"/>
        </w:rPr>
        <w:t>36.采购代理服务费</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中标人须按照投标须知表36条规定，向采购代理机构支付采购代理服务费。</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37.廉洁自律规定</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37.1 采购代理机构工作人员不得以不正当手段获取政府采购代理业务，不得与采购人、投标人恶意串通操纵政府采购活动。</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37.2 采购代理机构工作人员不得接受采购人或者投标人组织的宴请、旅游、娱乐，不得收受礼品、现金、有价证券等，不得向采购人或者投标人报销应当由个人承担的费用。</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38.人员回避</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投标人认为采购人及其相关人员有法律法规所列与其他投标人有利害关系的，可以向采购人或采购代理机构书面提出回避申请，并说明理由。</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39.质疑与接收</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39.1投标人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39.2质疑投标人应按照财政部门制定的《政府采购质疑函范本》格式（详见辽宁政府采购网）和《政府采购质疑和投诉办法》的要求，在法定质疑期内以纸质形式提出质疑，针对同一采购程序环节的质疑应一次性提出。</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rPr>
        <w:t>超出法定质疑期的、重复提出的、分次提出的或内容、形式不符合《政府采购质疑和投诉办法》的，质疑投标人将依法承担不利后果。</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39.3采购代理机构质疑函接收部门、联系电话和通讯地址, 见投标人须知表39.3条。</w:t>
      </w:r>
    </w:p>
    <w:p>
      <w:pPr>
        <w:adjustRightInd w:val="0"/>
        <w:snapToGrid w:val="0"/>
        <w:spacing w:line="360" w:lineRule="auto"/>
        <w:rPr>
          <w:rFonts w:hint="eastAsia" w:ascii="仿宋_GB2312" w:hAnsi="仿宋_GB2312" w:eastAsia="仿宋_GB2312" w:cs="仿宋_GB2312"/>
          <w:b/>
          <w:bCs/>
          <w:szCs w:val="21"/>
        </w:rPr>
      </w:pPr>
      <w:r>
        <w:rPr>
          <w:rFonts w:hint="eastAsia" w:ascii="仿宋_GB2312" w:hAnsi="仿宋_GB2312" w:eastAsia="仿宋_GB2312" w:cs="仿宋_GB2312"/>
          <w:b/>
          <w:bCs/>
          <w:szCs w:val="21"/>
        </w:rPr>
        <w:t>40.履约验收</w:t>
      </w:r>
    </w:p>
    <w:p>
      <w:pPr>
        <w:adjustRightInd w:val="0"/>
        <w:snapToGrid w:val="0"/>
        <w:spacing w:line="360" w:lineRule="auto"/>
        <w:ind w:firstLine="420"/>
        <w:rPr>
          <w:rFonts w:hint="eastAsia" w:ascii="仿宋_GB2312" w:hAnsi="仿宋_GB2312" w:eastAsia="仿宋_GB2312" w:cs="仿宋_GB2312"/>
          <w:szCs w:val="21"/>
        </w:rPr>
      </w:pPr>
      <w:r>
        <w:rPr>
          <w:rFonts w:hint="eastAsia" w:ascii="仿宋_GB2312" w:hAnsi="仿宋_GB2312" w:eastAsia="仿宋_GB2312" w:cs="仿宋_GB2312"/>
          <w:szCs w:val="21"/>
        </w:rPr>
        <w:t>本项目采购人及其委托的采购代理机构将严格按照政府采购相关法律法规以及《辽宁省政府采购履约验收管理办法》（辽财采〔2017〕603号）的要求进行验收。</w:t>
      </w:r>
    </w:p>
    <w:p>
      <w:pPr>
        <w:adjustRightInd w:val="0"/>
        <w:snapToGrid w:val="0"/>
        <w:spacing w:line="360" w:lineRule="auto"/>
        <w:rPr>
          <w:rFonts w:hint="eastAsia" w:ascii="仿宋_GB2312" w:hAnsi="仿宋_GB2312" w:eastAsia="仿宋_GB2312" w:cs="仿宋_GB2312"/>
          <w:szCs w:val="21"/>
        </w:rPr>
      </w:pPr>
    </w:p>
    <w:p>
      <w:pPr>
        <w:rPr>
          <w:highlight w:val="cyan"/>
        </w:rPr>
      </w:pPr>
      <w:bookmarkStart w:id="59" w:name="EB9f9d4284d59444fca43ccb763dd1d27e"/>
      <w:bookmarkEnd w:id="59"/>
    </w:p>
    <w:p>
      <w:pPr>
        <w:pStyle w:val="2"/>
        <w:keepNext w:val="0"/>
        <w:keepLines w:val="0"/>
        <w:pageBreakBefore/>
        <w:snapToGrid w:val="0"/>
        <w:spacing w:before="0" w:after="0"/>
        <w:rPr>
          <w:rFonts w:ascii="仿宋_GB2312" w:hAnsi="仿宋_GB2312" w:eastAsia="仿宋_GB2312" w:cs="仿宋_GB2312"/>
        </w:rPr>
      </w:pPr>
      <w:bookmarkStart w:id="60" w:name="_Toc256000001"/>
      <w:r>
        <w:rPr>
          <w:rFonts w:hint="eastAsia" w:ascii="仿宋_GB2312" w:hAnsi="仿宋_GB2312" w:eastAsia="仿宋_GB2312" w:cs="仿宋_GB2312"/>
          <w:highlight w:val="white"/>
        </w:rPr>
        <w:t>第二章 投标文件内容及格式</w:t>
      </w:r>
      <w:bookmarkEnd w:id="60"/>
    </w:p>
    <w:p>
      <w:pPr>
        <w:rPr>
          <w:rFonts w:hint="eastAsia" w:ascii="仿宋_GB2312" w:hAnsi="仿宋_GB2312" w:eastAsia="仿宋_GB2312" w:cs="仿宋_GB2312"/>
          <w:b/>
          <w:sz w:val="24"/>
        </w:rPr>
      </w:pPr>
      <w:r>
        <w:rPr>
          <w:rFonts w:hint="eastAsia" w:ascii="仿宋_GB2312" w:hAnsi="仿宋_GB2312" w:eastAsia="仿宋_GB2312" w:cs="仿宋_GB2312"/>
          <w:b/>
          <w:sz w:val="24"/>
          <w:highlight w:val="white"/>
        </w:rPr>
        <w:t>一、投标文件、电子文档的外封面、封口、封皮及目录</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5907"/>
        <w:gridCol w:w="16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序号</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内容</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所属包号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投标文件、电子文档的外封面及封口</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投标文件的封皮</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投标文件的目录</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bl>
    <w:p>
      <w:pPr>
        <w:rPr>
          <w:highlight w:val="red"/>
        </w:rPr>
      </w:pPr>
      <w:bookmarkStart w:id="61" w:name="EB4c305e95be4745faa0c5d1c01e3cdd93"/>
      <w:r>
        <w:rPr>
          <w:rFonts w:hint="eastAsia"/>
          <w:color w:val="000080"/>
          <w:sz w:val="20"/>
          <w:highlight w:val="white"/>
        </w:rPr>
        <w:t xml:space="preserve"> </w:t>
      </w:r>
      <w:bookmarkEnd w:id="61"/>
    </w:p>
    <w:p>
      <w:pPr>
        <w:snapToGrid w:val="0"/>
        <w:spacing w:before="160" w:beforeLines="50"/>
        <w:rPr>
          <w:rFonts w:hint="eastAsia" w:ascii="仿宋_GB2312" w:hAnsi="仿宋_GB2312" w:eastAsia="仿宋_GB2312" w:cs="仿宋_GB2312"/>
          <w:b/>
          <w:sz w:val="24"/>
        </w:rPr>
      </w:pPr>
      <w:r>
        <w:rPr>
          <w:rFonts w:hint="eastAsia" w:ascii="仿宋_GB2312" w:hAnsi="仿宋_GB2312" w:eastAsia="仿宋_GB2312" w:cs="仿宋_GB2312"/>
          <w:b/>
          <w:sz w:val="24"/>
          <w:highlight w:val="white"/>
        </w:rPr>
        <w:t>二、资格证明材料（有一项不符合要求，不能进入下一阶段评审）</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5907"/>
        <w:gridCol w:w="16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序号</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资格证明材料</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所属包号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营业执照或事业单位法人证书或执业许可证等证明文件复印件或自然人的身份证明复印件</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法定代表人（或非法人组织负责人）身份证明书（自然人投标的无需提供）</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法定代表人（或非法人组织负责人）授权委托书（授权委托人参加投标的须提供）</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具有良好的商业信誉和健全的财务会计制度的承诺函</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5</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开标时间前六个月内任一个月的依法缴纳税收的缴款凭据复印件</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6</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开标时间前六个月内任一个月的依法缴纳社会保障资金的缴款凭据复印件</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7</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具备履行合同所必需的设备和专业技术能力声明函</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8</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参加政府采购活动前3年内在经营活动中没有重大违法记录的书面声明</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9</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信用记录</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bl>
    <w:p>
      <w:pPr>
        <w:rPr>
          <w:highlight w:val="red"/>
        </w:rPr>
      </w:pPr>
      <w:bookmarkStart w:id="62" w:name="EBeb03757b81a24bfe9b900b5b781d48d2"/>
      <w:r>
        <w:rPr>
          <w:rFonts w:hint="eastAsia"/>
          <w:color w:val="000080"/>
          <w:sz w:val="20"/>
          <w:highlight w:val="white"/>
        </w:rPr>
        <w:t xml:space="preserve"> </w:t>
      </w:r>
      <w:bookmarkEnd w:id="62"/>
    </w:p>
    <w:p>
      <w:pPr>
        <w:snapToGrid w:val="0"/>
        <w:spacing w:before="160" w:beforeLines="50"/>
        <w:rPr>
          <w:rFonts w:hint="eastAsia" w:ascii="仿宋_GB2312" w:hAnsi="仿宋_GB2312" w:eastAsia="仿宋_GB2312" w:cs="仿宋_GB2312"/>
          <w:b/>
          <w:sz w:val="24"/>
        </w:rPr>
      </w:pPr>
      <w:r>
        <w:rPr>
          <w:rFonts w:hint="eastAsia" w:ascii="仿宋_GB2312" w:hAnsi="仿宋_GB2312" w:eastAsia="仿宋_GB2312" w:cs="仿宋_GB2312"/>
          <w:b/>
          <w:sz w:val="24"/>
          <w:highlight w:val="white"/>
        </w:rPr>
        <w:t>三、符合性证明材料（有一项不符合要求，不能进入下一阶段评审）</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5907"/>
        <w:gridCol w:w="16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序号</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符合性证明材料</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所属包号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投标函</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开标一览表(投标总价)</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服务价格明细表</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商务条款偏离表</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5</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服务需求响应表</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6</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投标人关联单位说明</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bl>
    <w:p>
      <w:pPr>
        <w:rPr>
          <w:highlight w:val="red"/>
        </w:rPr>
      </w:pPr>
      <w:bookmarkStart w:id="63" w:name="EBed4c3bd14c5d4ae1ab137dabe1e1c75d"/>
      <w:r>
        <w:rPr>
          <w:rFonts w:hint="eastAsia"/>
          <w:color w:val="000080"/>
          <w:sz w:val="20"/>
          <w:highlight w:val="white"/>
        </w:rPr>
        <w:t xml:space="preserve"> </w:t>
      </w:r>
      <w:bookmarkEnd w:id="63"/>
    </w:p>
    <w:p>
      <w:pPr>
        <w:snapToGrid w:val="0"/>
        <w:spacing w:before="160" w:beforeLines="50"/>
        <w:rPr>
          <w:rFonts w:hint="eastAsia" w:ascii="仿宋_GB2312" w:hAnsi="仿宋_GB2312" w:eastAsia="仿宋_GB2312" w:cs="仿宋_GB2312"/>
          <w:b/>
          <w:sz w:val="24"/>
        </w:rPr>
      </w:pPr>
      <w:r>
        <w:rPr>
          <w:rFonts w:hint="eastAsia" w:ascii="仿宋_GB2312" w:hAnsi="仿宋_GB2312" w:eastAsia="仿宋_GB2312" w:cs="仿宋_GB2312"/>
          <w:b/>
          <w:sz w:val="24"/>
          <w:highlight w:val="white"/>
        </w:rPr>
        <w:t>四、其他材料（如有，请提供；如未提供，投标文件不作无效处理）</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5907"/>
        <w:gridCol w:w="16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序号</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其他材料</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所属包号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监狱企业证明文件</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中小企业声明函</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残疾人福利性单位声明函</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列入《创新产品和服务目录》内的产品、服务的证明材料</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5</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评分细则中技术部分需提供的相关证明材料</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6</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评分细则中商务部分需提供的相关证明材料</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7</w:t>
            </w:r>
          </w:p>
        </w:tc>
        <w:tc>
          <w:tcPr>
            <w:tcW w:w="1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采购文件要求的以及供应商认为需要提供的其它证明材料</w:t>
            </w:r>
          </w:p>
        </w:tc>
        <w:tc>
          <w:tcPr>
            <w:tcW w:w="4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所有包</w:t>
            </w:r>
          </w:p>
        </w:tc>
      </w:tr>
    </w:tbl>
    <w:p>
      <w:pPr>
        <w:rPr>
          <w:highlight w:val="red"/>
        </w:rPr>
      </w:pPr>
      <w:bookmarkStart w:id="64" w:name="EBd2c85baac5394854a94f2d347e673d4b"/>
      <w:r>
        <w:rPr>
          <w:rFonts w:hint="eastAsia"/>
          <w:color w:val="000080"/>
          <w:sz w:val="20"/>
          <w:highlight w:val="white"/>
        </w:rPr>
        <w:t xml:space="preserve"> </w:t>
      </w:r>
      <w:bookmarkEnd w:id="64"/>
    </w:p>
    <w:p>
      <w:pPr>
        <w:adjustRightInd w:val="0"/>
        <w:snapToGrid w:val="0"/>
        <w:spacing w:line="300" w:lineRule="exact"/>
        <w:ind w:firstLine="480" w:firstLineChars="200"/>
        <w:rPr>
          <w:rFonts w:ascii="仿宋_GB2312" w:hAnsi="仿宋_GB2312" w:eastAsia="仿宋_GB2312" w:cs="仿宋_GB2312"/>
          <w:b/>
          <w:sz w:val="24"/>
        </w:rPr>
      </w:pPr>
      <w:r>
        <w:rPr>
          <w:rFonts w:hint="eastAsia" w:ascii="仿宋_GB2312" w:hAnsi="仿宋_GB2312" w:eastAsia="仿宋_GB2312" w:cs="仿宋_GB2312"/>
          <w:b/>
          <w:sz w:val="24"/>
          <w:highlight w:val="white"/>
        </w:rPr>
        <w:t xml:space="preserve"> 重要提示：</w:t>
      </w:r>
    </w:p>
    <w:p>
      <w:pPr>
        <w:adjustRightInd w:val="0"/>
        <w:snapToGrid w:val="0"/>
        <w:spacing w:line="300" w:lineRule="exact"/>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1、投标人提供的证明材料，除需要投标人填报或有特殊说明外，均须按要求提供。</w:t>
      </w:r>
      <w:r>
        <w:rPr>
          <w:rFonts w:hint="eastAsia" w:ascii="仿宋_GB2312" w:hAnsi="仿宋_GB2312" w:eastAsia="仿宋_GB2312" w:cs="仿宋_GB2312"/>
          <w:b/>
          <w:bCs/>
          <w:szCs w:val="21"/>
          <w:highlight w:val="white"/>
        </w:rPr>
        <w:t xml:space="preserve"> </w:t>
      </w:r>
    </w:p>
    <w:p>
      <w:pPr>
        <w:adjustRightInd w:val="0"/>
        <w:snapToGrid w:val="0"/>
        <w:spacing w:line="300" w:lineRule="exact"/>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2、投标人在编制投标文件时，对于给定格式的文件内容，必须按照给定的标准格式进行填报；对于没有给定标准格式的文件内容，可以由投标人自行设计。</w:t>
      </w:r>
    </w:p>
    <w:p>
      <w:pPr>
        <w:adjustRightInd w:val="0"/>
        <w:snapToGrid w:val="0"/>
        <w:spacing w:line="300" w:lineRule="exact"/>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3、投标文件应用中文书写。投标文件中所附或所引用的材料不是中文时，应附中文译本，并加盖公章（自然人投标的，无需加盖单位公章，需要签字）。</w:t>
      </w:r>
    </w:p>
    <w:p>
      <w:pPr>
        <w:adjustRightInd w:val="0"/>
        <w:snapToGrid w:val="0"/>
        <w:spacing w:line="300" w:lineRule="exact"/>
        <w:ind w:firstLine="420" w:firstLineChars="200"/>
        <w:rPr>
          <w:rFonts w:ascii="仿宋_GB2312" w:hAnsi="仿宋_GB2312" w:eastAsia="仿宋_GB2312" w:cs="仿宋_GB2312"/>
        </w:rPr>
      </w:pPr>
      <w:r>
        <w:rPr>
          <w:rFonts w:hint="eastAsia" w:ascii="仿宋_GB2312" w:hAnsi="仿宋_GB2312" w:eastAsia="仿宋_GB2312" w:cs="仿宋_GB2312"/>
          <w:szCs w:val="21"/>
          <w:highlight w:val="white"/>
        </w:rPr>
        <w:t>4、</w:t>
      </w:r>
      <w:r>
        <w:rPr>
          <w:rFonts w:hint="eastAsia" w:ascii="仿宋_GB2312" w:hAnsi="仿宋_GB2312" w:eastAsia="仿宋_GB2312" w:cs="仿宋_GB2312"/>
          <w:b/>
          <w:bCs/>
          <w:szCs w:val="21"/>
          <w:highlight w:val="white"/>
        </w:rPr>
        <w:t>“资格证明材料”</w:t>
      </w:r>
      <w:r>
        <w:rPr>
          <w:rFonts w:hint="eastAsia" w:ascii="仿宋_GB2312" w:hAnsi="仿宋_GB2312" w:eastAsia="仿宋_GB2312" w:cs="仿宋_GB2312"/>
          <w:highlight w:val="white"/>
        </w:rPr>
        <w:t>所列内容即为采购项目的资格审查条件，有一项不符合要求，不能进入下一阶段评审。</w:t>
      </w:r>
    </w:p>
    <w:p>
      <w:pPr>
        <w:adjustRightInd w:val="0"/>
        <w:snapToGrid w:val="0"/>
        <w:spacing w:line="300" w:lineRule="exact"/>
        <w:ind w:firstLine="420" w:firstLineChars="200"/>
        <w:rPr>
          <w:rFonts w:ascii="仿宋_GB2312" w:hAnsi="仿宋_GB2312" w:eastAsia="仿宋_GB2312" w:cs="仿宋_GB2312"/>
        </w:rPr>
      </w:pPr>
      <w:r>
        <w:rPr>
          <w:rFonts w:hint="eastAsia" w:ascii="仿宋_GB2312" w:hAnsi="仿宋_GB2312" w:eastAsia="仿宋_GB2312" w:cs="仿宋_GB2312"/>
          <w:highlight w:val="white"/>
        </w:rPr>
        <w:t>5、</w:t>
      </w:r>
      <w:r>
        <w:rPr>
          <w:rFonts w:hint="eastAsia" w:ascii="仿宋_GB2312" w:hAnsi="仿宋_GB2312" w:eastAsia="仿宋_GB2312" w:cs="仿宋_GB2312"/>
          <w:b/>
          <w:bCs/>
          <w:szCs w:val="21"/>
          <w:highlight w:val="white"/>
        </w:rPr>
        <w:t>“符合性证明材料”</w:t>
      </w:r>
      <w:r>
        <w:rPr>
          <w:rFonts w:hint="eastAsia" w:ascii="仿宋_GB2312" w:hAnsi="仿宋_GB2312" w:eastAsia="仿宋_GB2312" w:cs="仿宋_GB2312"/>
          <w:highlight w:val="white"/>
        </w:rPr>
        <w:t>所列内容即为采购项目的符合性审查条件，有一项不符合要求，不能进入下一阶段评审。</w:t>
      </w:r>
    </w:p>
    <w:p>
      <w:pPr>
        <w:adjustRightInd w:val="0"/>
        <w:snapToGrid w:val="0"/>
        <w:spacing w:line="300" w:lineRule="exact"/>
        <w:ind w:firstLine="420" w:firstLineChars="200"/>
        <w:rPr>
          <w:rFonts w:ascii="仿宋_GB2312" w:hAnsi="仿宋_GB2312" w:eastAsia="仿宋_GB2312" w:cs="仿宋_GB2312"/>
          <w:szCs w:val="21"/>
        </w:rPr>
      </w:pPr>
      <w:r>
        <w:rPr>
          <w:rFonts w:hint="eastAsia" w:ascii="仿宋_GB2312" w:hAnsi="仿宋_GB2312" w:eastAsia="仿宋_GB2312" w:cs="仿宋_GB2312"/>
          <w:highlight w:val="white"/>
        </w:rPr>
        <w:t>6、</w:t>
      </w:r>
      <w:r>
        <w:rPr>
          <w:rFonts w:hint="eastAsia" w:ascii="仿宋_GB2312" w:hAnsi="仿宋_GB2312" w:eastAsia="仿宋_GB2312" w:cs="仿宋_GB2312"/>
          <w:szCs w:val="21"/>
          <w:highlight w:val="white"/>
        </w:rPr>
        <w:t>“其他材料”</w:t>
      </w:r>
    </w:p>
    <w:p>
      <w:pPr>
        <w:adjustRightInd w:val="0"/>
        <w:snapToGrid w:val="0"/>
        <w:spacing w:line="300" w:lineRule="exact"/>
        <w:ind w:firstLine="420" w:firstLineChars="200"/>
        <w:rPr>
          <w:rFonts w:ascii="仿宋_GB2312" w:hAnsi="仿宋_GB2312" w:eastAsia="仿宋_GB2312" w:cs="仿宋_GB2312"/>
          <w:kern w:val="0"/>
          <w:szCs w:val="21"/>
        </w:rPr>
      </w:pPr>
      <w:r>
        <w:rPr>
          <w:rFonts w:hint="eastAsia" w:ascii="仿宋_GB2312" w:hAnsi="仿宋_GB2312" w:eastAsia="仿宋_GB2312" w:cs="仿宋_GB2312"/>
          <w:szCs w:val="21"/>
          <w:highlight w:val="white"/>
        </w:rPr>
        <w:t>（1）</w:t>
      </w:r>
      <w:r>
        <w:rPr>
          <w:rFonts w:hint="eastAsia" w:ascii="仿宋_GB2312" w:hAnsi="仿宋_GB2312" w:eastAsia="仿宋_GB2312" w:cs="仿宋_GB2312"/>
          <w:kern w:val="0"/>
          <w:szCs w:val="21"/>
          <w:highlight w:val="white"/>
        </w:rPr>
        <w:t>综合评分法：</w:t>
      </w:r>
      <w:r>
        <w:rPr>
          <w:rFonts w:hint="eastAsia" w:ascii="仿宋_GB2312" w:hAnsi="仿宋_GB2312" w:eastAsia="仿宋_GB2312" w:cs="仿宋_GB2312"/>
          <w:szCs w:val="21"/>
          <w:highlight w:val="white"/>
        </w:rPr>
        <w:t>投标人可就</w:t>
      </w:r>
      <w:r>
        <w:rPr>
          <w:rFonts w:hint="eastAsia" w:ascii="仿宋_GB2312" w:hAnsi="仿宋_GB2312" w:eastAsia="仿宋_GB2312" w:cs="仿宋_GB2312"/>
          <w:kern w:val="0"/>
          <w:szCs w:val="21"/>
          <w:highlight w:val="white"/>
        </w:rPr>
        <w:t>招标文件要求以及评分细则中各项要求提供相应材料。</w:t>
      </w:r>
    </w:p>
    <w:p>
      <w:pPr>
        <w:adjustRightInd w:val="0"/>
        <w:snapToGrid w:val="0"/>
        <w:spacing w:line="300" w:lineRule="exact"/>
        <w:ind w:firstLine="420" w:firstLineChars="200"/>
        <w:rPr>
          <w:rFonts w:hint="eastAsia" w:ascii="仿宋_GB2312" w:hAnsi="仿宋_GB2312" w:eastAsia="仿宋_GB2312" w:cs="仿宋_GB2312"/>
          <w:kern w:val="0"/>
          <w:szCs w:val="21"/>
        </w:rPr>
      </w:pPr>
      <w:r>
        <w:rPr>
          <w:rFonts w:hint="eastAsia" w:ascii="仿宋_GB2312" w:hAnsi="仿宋_GB2312" w:eastAsia="仿宋_GB2312" w:cs="仿宋_GB2312"/>
          <w:szCs w:val="21"/>
          <w:highlight w:val="white"/>
        </w:rPr>
        <w:t>（2）</w:t>
      </w:r>
      <w:r>
        <w:rPr>
          <w:rFonts w:hint="eastAsia" w:ascii="仿宋_GB2312" w:hAnsi="仿宋_GB2312" w:eastAsia="仿宋_GB2312" w:cs="仿宋_GB2312"/>
          <w:kern w:val="0"/>
          <w:szCs w:val="21"/>
          <w:highlight w:val="white"/>
        </w:rPr>
        <w:t>最低评标价法：</w:t>
      </w:r>
      <w:r>
        <w:rPr>
          <w:rFonts w:hint="eastAsia" w:ascii="仿宋_GB2312" w:hAnsi="仿宋_GB2312" w:eastAsia="仿宋_GB2312" w:cs="仿宋_GB2312"/>
          <w:szCs w:val="21"/>
          <w:highlight w:val="white"/>
        </w:rPr>
        <w:t>投标人可就</w:t>
      </w:r>
      <w:r>
        <w:rPr>
          <w:rFonts w:hint="eastAsia" w:ascii="仿宋_GB2312" w:hAnsi="仿宋_GB2312" w:eastAsia="仿宋_GB2312" w:cs="仿宋_GB2312"/>
          <w:kern w:val="0"/>
          <w:szCs w:val="21"/>
          <w:highlight w:val="white"/>
        </w:rPr>
        <w:t>招标文件要求提供相应材料。</w:t>
      </w:r>
    </w:p>
    <w:p>
      <w:pPr>
        <w:rPr>
          <w:rFonts w:hint="eastAsia"/>
          <w:highlight w:val="magenta"/>
        </w:rPr>
      </w:pPr>
      <w:bookmarkStart w:id="65" w:name="EB694667f69d0c490d90764498a068c01c"/>
      <w:bookmarkEnd w:id="65"/>
    </w:p>
    <w:p>
      <w:pPr>
        <w:rPr>
          <w:rFonts w:hint="eastAsia"/>
          <w:color w:val="000080"/>
          <w:sz w:val="20"/>
          <w:highlight w:val="red"/>
        </w:rPr>
      </w:pPr>
      <w:bookmarkStart w:id="66" w:name="EB84817a199c674410afb8aaff05f829f0"/>
    </w:p>
    <w:p>
      <w:pPr>
        <w:widowControl/>
        <w:jc w:val="left"/>
        <w:rPr>
          <w:rFonts w:ascii="仿宋" w:hAnsi="仿宋" w:eastAsia="仿宋" w:cs="仿宋"/>
          <w:kern w:val="0"/>
          <w:sz w:val="24"/>
          <w:szCs w:val="24"/>
          <w:lang w:eastAsia="en-US"/>
        </w:rPr>
      </w:pPr>
      <w:r>
        <w:rPr>
          <w:rFonts w:ascii="仿宋" w:hAnsi="仿宋" w:eastAsia="仿宋" w:cs="仿宋"/>
          <w:kern w:val="0"/>
          <w:sz w:val="24"/>
          <w:szCs w:val="24"/>
          <w:lang w:eastAsia="en-US"/>
        </w:rPr>
        <w:t>一、投标文件、电子文档的外封面及封口</w:t>
      </w:r>
    </w:p>
    <w:p>
      <w:pPr>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投标文件、电子文档外封面、封口格式</w:t>
      </w:r>
    </w:p>
    <w:p>
      <w:pPr>
        <w:rPr>
          <w:rFonts w:ascii="仿宋_GB2312" w:hAnsi="仿宋_GB2312" w:eastAsia="仿宋_GB2312" w:cs="仿宋_GB2312"/>
          <w:szCs w:val="24"/>
        </w:rPr>
      </w:pPr>
      <w:r>
        <w:rPr>
          <w:rFonts w:hint="eastAsia" w:ascii="仿宋_GB2312" w:hAnsi="仿宋_GB2312" w:eastAsia="仿宋_GB2312" w:cs="仿宋_GB2312"/>
          <w:sz w:val="28"/>
          <w:szCs w:val="28"/>
        </w:rPr>
        <w:t>封面格式：</w:t>
      </w:r>
    </w:p>
    <w:tbl>
      <w:tblPr>
        <w:tblStyle w:val="20"/>
        <w:tblW w:w="5960"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5960"/>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8090" w:hRule="atLeast"/>
          <w:jc w:val="center"/>
        </w:trPr>
        <w:tc>
          <w:tcPr>
            <w:tcW w:w="5960" w:type="dxa"/>
            <w:noWrap w:val="0"/>
            <w:vAlign w:val="top"/>
          </w:tcPr>
          <w:p>
            <w:pPr>
              <w:jc w:val="center"/>
              <w:rPr>
                <w:rFonts w:ascii="仿宋_GB2312" w:hAnsi="仿宋_GB2312" w:eastAsia="仿宋_GB2312" w:cs="仿宋_GB2312"/>
                <w:b/>
                <w:bCs/>
                <w:szCs w:val="24"/>
              </w:rPr>
            </w:pPr>
          </w:p>
          <w:p>
            <w:pPr>
              <w:jc w:val="center"/>
              <w:rPr>
                <w:rFonts w:ascii="仿宋_GB2312" w:hAnsi="仿宋_GB2312" w:eastAsia="仿宋_GB2312" w:cs="仿宋_GB2312"/>
                <w:b/>
                <w:bCs/>
                <w:szCs w:val="24"/>
              </w:rPr>
            </w:pPr>
          </w:p>
          <w:p>
            <w:pPr>
              <w:jc w:val="center"/>
              <w:rPr>
                <w:rFonts w:ascii="仿宋_GB2312" w:hAnsi="仿宋_GB2312" w:eastAsia="仿宋_GB2312" w:cs="仿宋_GB2312"/>
                <w:b/>
                <w:bCs/>
                <w:szCs w:val="24"/>
              </w:rPr>
            </w:pPr>
          </w:p>
          <w:p>
            <w:pPr>
              <w:jc w:val="center"/>
              <w:rPr>
                <w:rFonts w:ascii="仿宋_GB2312" w:hAnsi="仿宋_GB2312" w:eastAsia="仿宋_GB2312" w:cs="仿宋_GB2312"/>
                <w:b/>
                <w:bCs/>
                <w:szCs w:val="24"/>
              </w:rPr>
            </w:pPr>
          </w:p>
          <w:p>
            <w:pPr>
              <w:jc w:val="center"/>
              <w:rPr>
                <w:rFonts w:ascii="仿宋_GB2312" w:hAnsi="仿宋_GB2312" w:eastAsia="仿宋_GB2312" w:cs="仿宋_GB2312"/>
                <w:b/>
                <w:bCs/>
                <w:szCs w:val="24"/>
              </w:rPr>
            </w:pPr>
          </w:p>
          <w:p>
            <w:pPr>
              <w:jc w:val="center"/>
              <w:rPr>
                <w:rFonts w:ascii="仿宋_GB2312" w:hAnsi="仿宋_GB2312" w:eastAsia="仿宋_GB2312" w:cs="仿宋_GB2312"/>
                <w:b/>
                <w:bCs/>
                <w:szCs w:val="24"/>
              </w:rPr>
            </w:pPr>
            <w:r>
              <w:rPr>
                <w:rFonts w:hint="eastAsia" w:ascii="仿宋_GB2312" w:hAnsi="仿宋_GB2312" w:eastAsia="仿宋_GB2312" w:cs="仿宋_GB2312"/>
                <w:b/>
                <w:bCs/>
                <w:sz w:val="44"/>
                <w:szCs w:val="52"/>
              </w:rPr>
              <w:t>投标文件/电子文档</w:t>
            </w:r>
          </w:p>
          <w:p>
            <w:pPr>
              <w:jc w:val="left"/>
              <w:rPr>
                <w:rFonts w:ascii="仿宋_GB2312" w:hAnsi="仿宋_GB2312" w:eastAsia="仿宋_GB2312" w:cs="仿宋_GB2312"/>
                <w:szCs w:val="24"/>
              </w:rPr>
            </w:pPr>
          </w:p>
          <w:p>
            <w:pPr>
              <w:jc w:val="left"/>
              <w:rPr>
                <w:rFonts w:ascii="仿宋_GB2312" w:hAnsi="仿宋_GB2312" w:eastAsia="仿宋_GB2312" w:cs="仿宋_GB2312"/>
                <w:szCs w:val="24"/>
              </w:rPr>
            </w:pPr>
          </w:p>
          <w:p>
            <w:pPr>
              <w:jc w:val="left"/>
              <w:rPr>
                <w:rFonts w:ascii="仿宋_GB2312" w:hAnsi="仿宋_GB2312" w:eastAsia="仿宋_GB2312" w:cs="仿宋_GB2312"/>
                <w:szCs w:val="24"/>
              </w:rPr>
            </w:pPr>
          </w:p>
          <w:p>
            <w:pPr>
              <w:jc w:val="left"/>
              <w:rPr>
                <w:rFonts w:ascii="仿宋_GB2312" w:hAnsi="仿宋_GB2312" w:eastAsia="仿宋_GB2312" w:cs="仿宋_GB2312"/>
                <w:szCs w:val="24"/>
              </w:rPr>
            </w:pPr>
          </w:p>
          <w:p>
            <w:pPr>
              <w:jc w:val="left"/>
              <w:rPr>
                <w:rFonts w:ascii="仿宋_GB2312" w:hAnsi="仿宋_GB2312" w:eastAsia="仿宋_GB2312" w:cs="仿宋_GB2312"/>
                <w:szCs w:val="24"/>
              </w:rPr>
            </w:pPr>
          </w:p>
          <w:p>
            <w:pPr>
              <w:jc w:val="left"/>
              <w:rPr>
                <w:rFonts w:ascii="仿宋_GB2312" w:hAnsi="仿宋_GB2312" w:eastAsia="仿宋_GB2312" w:cs="仿宋_GB2312"/>
                <w:szCs w:val="24"/>
              </w:rPr>
            </w:pPr>
          </w:p>
          <w:p>
            <w:pPr>
              <w:jc w:val="left"/>
              <w:rPr>
                <w:rFonts w:ascii="仿宋_GB2312" w:hAnsi="仿宋_GB2312" w:eastAsia="仿宋_GB2312" w:cs="仿宋_GB2312"/>
                <w:szCs w:val="24"/>
              </w:rPr>
            </w:pPr>
          </w:p>
          <w:p>
            <w:pPr>
              <w:jc w:val="left"/>
              <w:rPr>
                <w:rFonts w:ascii="仿宋_GB2312" w:hAnsi="仿宋_GB2312" w:eastAsia="仿宋_GB2312" w:cs="仿宋_GB2312"/>
                <w:szCs w:val="24"/>
              </w:rPr>
            </w:pPr>
            <w:r>
              <w:rPr>
                <w:rFonts w:hint="eastAsia" w:ascii="仿宋_GB2312" w:hAnsi="仿宋_GB2312" w:eastAsia="仿宋_GB2312" w:cs="仿宋_GB2312"/>
                <w:szCs w:val="24"/>
              </w:rPr>
              <w:t>所投包号：第  包</w:t>
            </w:r>
          </w:p>
          <w:p>
            <w:pPr>
              <w:jc w:val="left"/>
              <w:rPr>
                <w:rFonts w:ascii="仿宋_GB2312" w:hAnsi="仿宋_GB2312" w:eastAsia="仿宋_GB2312" w:cs="仿宋_GB2312"/>
                <w:szCs w:val="24"/>
              </w:rPr>
            </w:pPr>
          </w:p>
          <w:p>
            <w:pPr>
              <w:jc w:val="left"/>
              <w:rPr>
                <w:rFonts w:ascii="仿宋_GB2312" w:hAnsi="仿宋_GB2312" w:eastAsia="仿宋_GB2312" w:cs="仿宋_GB2312"/>
                <w:szCs w:val="24"/>
              </w:rPr>
            </w:pPr>
            <w:r>
              <w:rPr>
                <w:rFonts w:hint="eastAsia" w:ascii="仿宋_GB2312" w:hAnsi="仿宋_GB2312" w:eastAsia="仿宋_GB2312" w:cs="仿宋_GB2312"/>
                <w:szCs w:val="24"/>
              </w:rPr>
              <w:t>项目名称：</w:t>
            </w:r>
          </w:p>
          <w:p>
            <w:pPr>
              <w:jc w:val="left"/>
              <w:rPr>
                <w:rFonts w:ascii="仿宋_GB2312" w:hAnsi="仿宋_GB2312" w:eastAsia="仿宋_GB2312" w:cs="仿宋_GB2312"/>
                <w:szCs w:val="24"/>
              </w:rPr>
            </w:pPr>
          </w:p>
          <w:p>
            <w:pPr>
              <w:jc w:val="left"/>
              <w:rPr>
                <w:rFonts w:ascii="仿宋_GB2312" w:hAnsi="仿宋_GB2312" w:eastAsia="仿宋_GB2312" w:cs="仿宋_GB2312"/>
                <w:szCs w:val="24"/>
              </w:rPr>
            </w:pPr>
            <w:r>
              <w:rPr>
                <w:rFonts w:hint="eastAsia" w:ascii="仿宋_GB2312" w:hAnsi="仿宋_GB2312" w:eastAsia="仿宋_GB2312" w:cs="仿宋_GB2312"/>
                <w:szCs w:val="24"/>
              </w:rPr>
              <w:t>项目编号：</w:t>
            </w:r>
          </w:p>
          <w:p>
            <w:pPr>
              <w:jc w:val="center"/>
              <w:rPr>
                <w:rFonts w:ascii="仿宋_GB2312" w:hAnsi="仿宋_GB2312" w:eastAsia="仿宋_GB2312" w:cs="仿宋_GB2312"/>
                <w:szCs w:val="24"/>
              </w:rPr>
            </w:pPr>
          </w:p>
          <w:p>
            <w:pPr>
              <w:jc w:val="center"/>
              <w:rPr>
                <w:rFonts w:ascii="仿宋_GB2312" w:hAnsi="仿宋_GB2312" w:eastAsia="仿宋_GB2312" w:cs="仿宋_GB2312"/>
                <w:szCs w:val="24"/>
              </w:rPr>
            </w:pPr>
          </w:p>
          <w:p>
            <w:pPr>
              <w:jc w:val="center"/>
              <w:rPr>
                <w:rFonts w:ascii="仿宋_GB2312" w:hAnsi="仿宋_GB2312" w:eastAsia="仿宋_GB2312" w:cs="仿宋_GB2312"/>
                <w:szCs w:val="24"/>
              </w:rPr>
            </w:pPr>
          </w:p>
          <w:p>
            <w:pPr>
              <w:jc w:val="left"/>
              <w:rPr>
                <w:rFonts w:ascii="仿宋_GB2312" w:hAnsi="仿宋_GB2312" w:eastAsia="仿宋_GB2312" w:cs="仿宋_GB2312"/>
                <w:szCs w:val="24"/>
              </w:rPr>
            </w:pPr>
            <w:r>
              <w:rPr>
                <w:rFonts w:hint="eastAsia" w:ascii="仿宋_GB2312" w:hAnsi="仿宋_GB2312" w:eastAsia="仿宋_GB2312" w:cs="仿宋_GB2312"/>
                <w:szCs w:val="24"/>
              </w:rPr>
              <w:t>投标人名称（加盖单位公章）</w:t>
            </w:r>
          </w:p>
        </w:tc>
      </w:tr>
    </w:tbl>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r>
        <w:rPr>
          <w:rFonts w:hint="eastAsia" w:ascii="仿宋_GB2312" w:hAnsi="仿宋_GB2312" w:eastAsia="仿宋_GB2312" w:cs="仿宋_GB2312"/>
          <w:sz w:val="24"/>
          <w:szCs w:val="32"/>
        </w:rPr>
        <w:t>封口格式：</w:t>
      </w:r>
    </w:p>
    <w:tbl>
      <w:tblPr>
        <w:tblStyle w:val="20"/>
        <w:tblW w:w="8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6" w:hRule="atLeast"/>
          <w:jc w:val="center"/>
        </w:trPr>
        <w:tc>
          <w:tcPr>
            <w:tcW w:w="822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hAnsi="仿宋_GB2312" w:eastAsia="仿宋_GB2312" w:cs="仿宋_GB2312"/>
                <w:szCs w:val="24"/>
              </w:rPr>
            </w:pPr>
            <w:r>
              <w:rPr>
                <w:rFonts w:hint="eastAsia" w:ascii="仿宋_GB2312" w:hAnsi="仿宋_GB2312" w:eastAsia="仿宋_GB2312" w:cs="仿宋_GB2312"/>
                <w:szCs w:val="24"/>
              </w:rPr>
              <w:t>——于</w:t>
            </w:r>
            <w:r>
              <w:rPr>
                <w:rFonts w:hint="eastAsia" w:ascii="宋体" w:hAnsi="宋体" w:cs="宋体"/>
                <w:szCs w:val="24"/>
              </w:rPr>
              <w:t>  </w:t>
            </w:r>
            <w:r>
              <w:rPr>
                <w:rFonts w:hint="eastAsia" w:ascii="仿宋_GB2312" w:hAnsi="仿宋_GB2312" w:eastAsia="仿宋_GB2312" w:cs="仿宋_GB2312"/>
                <w:szCs w:val="24"/>
              </w:rPr>
              <w:t xml:space="preserve"> 年</w:t>
            </w:r>
            <w:r>
              <w:rPr>
                <w:rFonts w:hint="eastAsia" w:ascii="宋体" w:hAnsi="宋体" w:cs="宋体"/>
                <w:szCs w:val="24"/>
              </w:rPr>
              <w:t> </w:t>
            </w:r>
            <w:r>
              <w:rPr>
                <w:rFonts w:hint="eastAsia" w:ascii="仿宋_GB2312" w:hAnsi="仿宋_GB2312" w:eastAsia="仿宋_GB2312" w:cs="仿宋_GB2312"/>
                <w:szCs w:val="24"/>
              </w:rPr>
              <w:t xml:space="preserve"> 月</w:t>
            </w:r>
            <w:r>
              <w:rPr>
                <w:rFonts w:hint="eastAsia" w:ascii="宋体" w:hAnsi="宋体" w:cs="宋体"/>
                <w:szCs w:val="24"/>
              </w:rPr>
              <w:t> </w:t>
            </w:r>
            <w:r>
              <w:rPr>
                <w:rFonts w:hint="eastAsia" w:ascii="仿宋_GB2312" w:hAnsi="仿宋_GB2312" w:eastAsia="仿宋_GB2312" w:cs="仿宋_GB2312"/>
                <w:szCs w:val="24"/>
              </w:rPr>
              <w:t xml:space="preserve"> 日</w:t>
            </w:r>
            <w:r>
              <w:rPr>
                <w:rFonts w:hint="eastAsia" w:ascii="宋体" w:hAnsi="宋体" w:cs="宋体"/>
                <w:szCs w:val="24"/>
              </w:rPr>
              <w:t>  </w:t>
            </w:r>
            <w:r>
              <w:rPr>
                <w:rFonts w:hint="eastAsia" w:ascii="仿宋_GB2312" w:hAnsi="仿宋_GB2312" w:eastAsia="仿宋_GB2312" w:cs="仿宋_GB2312"/>
                <w:szCs w:val="24"/>
              </w:rPr>
              <w:t xml:space="preserve"> 时之前不准启封（公章）——</w:t>
            </w:r>
          </w:p>
        </w:tc>
      </w:tr>
    </w:tbl>
    <w:p>
      <w:pPr>
        <w:rPr>
          <w:rFonts w:ascii="仿宋_GB2312" w:hAnsi="仿宋_GB2312" w:eastAsia="仿宋_GB2312" w:cs="仿宋_GB2312"/>
          <w:szCs w:val="24"/>
        </w:rPr>
      </w:pP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二、投标文件的封皮</w:t>
      </w:r>
    </w:p>
    <w:p>
      <w:pPr>
        <w:jc w:val="center"/>
        <w:rPr>
          <w:rFonts w:ascii="仿宋_GB2312" w:hAnsi="仿宋_GB2312" w:eastAsia="仿宋_GB2312" w:cs="仿宋_GB2312"/>
          <w:b/>
          <w:bCs/>
          <w:sz w:val="32"/>
          <w:szCs w:val="32"/>
        </w:rPr>
      </w:pPr>
      <w:r>
        <w:rPr>
          <w:rFonts w:ascii="仿宋_GB2312" w:hAnsi="仿宋_GB2312" w:eastAsia="仿宋_GB2312" w:cs="仿宋_GB2312"/>
          <w:sz w:val="32"/>
          <w:szCs w:val="24"/>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1" name="文本框 2"/>
                <wp:cNvGraphicFramePr/>
                <a:graphic xmlns:a="http://schemas.openxmlformats.org/drawingml/2006/main">
                  <a:graphicData uri="http://schemas.microsoft.com/office/word/2010/wordprocessingShape">
                    <wps:wsp>
                      <wps:cNvSpPr txBox="1"/>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ascii="仿宋_GB2312" w:hAnsi="仿宋_GB2312" w:eastAsia="仿宋_GB2312" w:cs="仿宋_GB2312"/>
                                <w:sz w:val="32"/>
                                <w:szCs w:val="32"/>
                              </w:rPr>
                            </w:pPr>
                            <w:r>
                              <w:rPr>
                                <w:rFonts w:hint="eastAsia" w:ascii="仿宋_GB2312" w:hAnsi="仿宋_GB2312" w:eastAsia="仿宋_GB2312" w:cs="仿宋_GB2312"/>
                                <w:sz w:val="32"/>
                                <w:szCs w:val="32"/>
                              </w:rPr>
                              <w:t>正本/副本</w:t>
                            </w:r>
                          </w:p>
                        </w:txbxContent>
                      </wps:txbx>
                      <wps:bodyPr wrap="square" upright="1"/>
                    </wps:wsp>
                  </a:graphicData>
                </a:graphic>
              </wp:anchor>
            </w:drawing>
          </mc:Choice>
          <mc:Fallback>
            <w:pict>
              <v:shape id="文本框 2" o:spid="_x0000_s1026" o:spt="202" type="#_x0000_t202" style="position:absolute;left:0pt;margin-left:305.4pt;margin-top:28.45pt;height:44.35pt;width:98.7pt;z-index:251659264;mso-width-relative:page;mso-height-relative:page;" fillcolor="#FFFFFF" filled="t" stroked="t" coordsize="21600,21600" o:gfxdata="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DVdez7ZAAAACgEAAA8AAAAA&#10;AAAAAQAgAAAAIgAAAGRycy9kb3ducmV2LnhtbFBLAQIUABQAAAAIAIdO4kAzbLFlEwIAAEQEAAAO&#10;AAAAAAAAAAEAIAAAACgBAABkcnMvZTJvRG9jLnhtbFBLBQYAAAAABgAGAFkBAACtBQAAAAA=&#10;">
                <v:fill on="t" focussize="0,0"/>
                <v:stroke color="#000000" joinstyle="miter"/>
                <v:imagedata o:title=""/>
                <o:lock v:ext="edit" aspectratio="f"/>
                <v:textbox>
                  <w:txbxContent>
                    <w:p>
                      <w:pPr>
                        <w:rPr>
                          <w:rFonts w:ascii="仿宋_GB2312" w:hAnsi="仿宋_GB2312" w:eastAsia="仿宋_GB2312" w:cs="仿宋_GB2312"/>
                          <w:sz w:val="32"/>
                          <w:szCs w:val="32"/>
                        </w:rPr>
                      </w:pPr>
                      <w:r>
                        <w:rPr>
                          <w:rFonts w:hint="eastAsia" w:ascii="仿宋_GB2312" w:hAnsi="仿宋_GB2312" w:eastAsia="仿宋_GB2312" w:cs="仿宋_GB2312"/>
                          <w:sz w:val="32"/>
                          <w:szCs w:val="32"/>
                        </w:rPr>
                        <w:t>正本/副本</w:t>
                      </w:r>
                    </w:p>
                  </w:txbxContent>
                </v:textbox>
              </v:shape>
            </w:pict>
          </mc:Fallback>
        </mc:AlternateContent>
      </w:r>
      <w:r>
        <w:rPr>
          <w:rFonts w:hint="eastAsia" w:ascii="仿宋_GB2312" w:hAnsi="仿宋_GB2312" w:eastAsia="仿宋_GB2312" w:cs="仿宋_GB2312"/>
          <w:b/>
          <w:bCs/>
          <w:sz w:val="32"/>
          <w:szCs w:val="32"/>
        </w:rPr>
        <w:t>投标文件的封皮（适用纸质投标）</w:t>
      </w: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jc w:val="center"/>
        <w:rPr>
          <w:rFonts w:ascii="仿宋_GB2312" w:hAnsi="仿宋_GB2312" w:eastAsia="仿宋_GB2312" w:cs="仿宋_GB2312"/>
          <w:b/>
          <w:bCs/>
          <w:sz w:val="52"/>
          <w:szCs w:val="52"/>
        </w:rPr>
      </w:pPr>
      <w:r>
        <w:rPr>
          <w:rFonts w:hint="eastAsia" w:ascii="仿宋_GB2312" w:hAnsi="仿宋_GB2312" w:eastAsia="仿宋_GB2312" w:cs="仿宋_GB2312"/>
          <w:b/>
          <w:bCs/>
          <w:sz w:val="52"/>
          <w:szCs w:val="52"/>
        </w:rPr>
        <w:t>投  标  文  件</w:t>
      </w: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r>
        <w:rPr>
          <w:rFonts w:hint="eastAsia" w:ascii="仿宋_GB2312" w:hAnsi="仿宋_GB2312" w:eastAsia="仿宋_GB2312" w:cs="仿宋_GB2312"/>
          <w:sz w:val="28"/>
          <w:szCs w:val="28"/>
        </w:rPr>
        <w:t>所投包号：第  包</w:t>
      </w:r>
    </w:p>
    <w:p>
      <w:pPr>
        <w:rPr>
          <w:rFonts w:ascii="仿宋_GB2312" w:hAnsi="仿宋_GB2312" w:eastAsia="仿宋_GB2312" w:cs="仿宋_GB2312"/>
          <w:sz w:val="28"/>
          <w:szCs w:val="28"/>
        </w:rPr>
      </w:pPr>
      <w:r>
        <w:rPr>
          <w:rFonts w:hint="eastAsia" w:ascii="仿宋_GB2312" w:hAnsi="仿宋_GB2312" w:eastAsia="仿宋_GB2312" w:cs="仿宋_GB2312"/>
          <w:sz w:val="28"/>
          <w:szCs w:val="28"/>
        </w:rPr>
        <w:t>项目名称：</w:t>
      </w:r>
    </w:p>
    <w:p>
      <w:pPr>
        <w:rPr>
          <w:rFonts w:ascii="仿宋_GB2312" w:hAnsi="仿宋_GB2312" w:eastAsia="仿宋_GB2312" w:cs="仿宋_GB2312"/>
          <w:sz w:val="28"/>
          <w:szCs w:val="28"/>
        </w:rPr>
      </w:pPr>
      <w:r>
        <w:rPr>
          <w:rFonts w:hint="eastAsia" w:ascii="仿宋_GB2312" w:hAnsi="仿宋_GB2312" w:eastAsia="仿宋_GB2312" w:cs="仿宋_GB2312"/>
          <w:sz w:val="28"/>
          <w:szCs w:val="28"/>
        </w:rPr>
        <w:t>项目编号：</w:t>
      </w:r>
    </w:p>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投标人名称 ：</w:t>
      </w:r>
    </w:p>
    <w:p>
      <w:pPr>
        <w:jc w:val="center"/>
        <w:rPr>
          <w:rFonts w:ascii="仿宋_GB2312" w:hAnsi="仿宋_GB2312" w:eastAsia="仿宋_GB2312" w:cs="仿宋_GB2312"/>
          <w:b/>
          <w:bCs/>
          <w:sz w:val="32"/>
          <w:szCs w:val="32"/>
        </w:rPr>
      </w:pPr>
      <w:r>
        <w:rPr>
          <w:rFonts w:ascii="仿宋_GB2312" w:hAnsi="仿宋_GB2312" w:eastAsia="仿宋_GB2312" w:cs="仿宋_GB2312"/>
          <w:sz w:val="28"/>
          <w:szCs w:val="28"/>
        </w:rPr>
        <w:br w:type="page"/>
      </w:r>
      <w:r>
        <w:rPr>
          <w:rFonts w:hint="eastAsia" w:ascii="仿宋_GB2312" w:hAnsi="仿宋_GB2312" w:eastAsia="仿宋_GB2312" w:cs="仿宋_GB2312"/>
          <w:b/>
          <w:bCs/>
          <w:sz w:val="32"/>
          <w:szCs w:val="32"/>
        </w:rPr>
        <w:t>投标文件的封皮（适用电子投标）</w:t>
      </w: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jc w:val="center"/>
        <w:rPr>
          <w:rFonts w:ascii="仿宋_GB2312" w:hAnsi="仿宋_GB2312" w:eastAsia="仿宋_GB2312" w:cs="仿宋_GB2312"/>
          <w:b/>
          <w:bCs/>
          <w:sz w:val="52"/>
          <w:szCs w:val="52"/>
        </w:rPr>
      </w:pPr>
      <w:r>
        <w:rPr>
          <w:rFonts w:hint="eastAsia" w:ascii="仿宋_GB2312" w:hAnsi="仿宋_GB2312" w:eastAsia="仿宋_GB2312" w:cs="仿宋_GB2312"/>
          <w:b/>
          <w:bCs/>
          <w:sz w:val="52"/>
          <w:szCs w:val="52"/>
        </w:rPr>
        <w:t>投  标  文  件</w:t>
      </w: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p>
    <w:p>
      <w:pPr>
        <w:rPr>
          <w:rFonts w:ascii="仿宋_GB2312" w:hAnsi="仿宋_GB2312" w:eastAsia="仿宋_GB2312" w:cs="仿宋_GB2312"/>
          <w:sz w:val="28"/>
          <w:szCs w:val="28"/>
        </w:rPr>
      </w:pPr>
      <w:r>
        <w:rPr>
          <w:rFonts w:hint="eastAsia" w:ascii="仿宋_GB2312" w:hAnsi="仿宋_GB2312" w:eastAsia="仿宋_GB2312" w:cs="仿宋_GB2312"/>
          <w:sz w:val="28"/>
          <w:szCs w:val="28"/>
        </w:rPr>
        <w:t>所投包号：第  包</w:t>
      </w:r>
    </w:p>
    <w:p>
      <w:pPr>
        <w:rPr>
          <w:rFonts w:ascii="仿宋_GB2312" w:hAnsi="仿宋_GB2312" w:eastAsia="仿宋_GB2312" w:cs="仿宋_GB2312"/>
          <w:sz w:val="28"/>
          <w:szCs w:val="28"/>
        </w:rPr>
      </w:pPr>
      <w:r>
        <w:rPr>
          <w:rFonts w:hint="eastAsia" w:ascii="仿宋_GB2312" w:hAnsi="仿宋_GB2312" w:eastAsia="仿宋_GB2312" w:cs="仿宋_GB2312"/>
          <w:sz w:val="28"/>
          <w:szCs w:val="28"/>
        </w:rPr>
        <w:t>项目名称：</w:t>
      </w:r>
    </w:p>
    <w:p>
      <w:pPr>
        <w:rPr>
          <w:rFonts w:ascii="仿宋_GB2312" w:hAnsi="仿宋_GB2312" w:eastAsia="仿宋_GB2312" w:cs="仿宋_GB2312"/>
          <w:sz w:val="28"/>
          <w:szCs w:val="28"/>
        </w:rPr>
      </w:pPr>
      <w:r>
        <w:rPr>
          <w:rFonts w:hint="eastAsia" w:ascii="仿宋_GB2312" w:hAnsi="仿宋_GB2312" w:eastAsia="仿宋_GB2312" w:cs="仿宋_GB2312"/>
          <w:sz w:val="28"/>
          <w:szCs w:val="28"/>
        </w:rPr>
        <w:t>项目编号：</w:t>
      </w:r>
    </w:p>
    <w:p>
      <w:r>
        <w:rPr>
          <w:rFonts w:hint="eastAsia" w:ascii="仿宋_GB2312" w:hAnsi="仿宋_GB2312" w:eastAsia="仿宋_GB2312" w:cs="仿宋_GB2312"/>
          <w:sz w:val="28"/>
          <w:szCs w:val="28"/>
        </w:rPr>
        <w:t>投标人名称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三、投标文件的目录</w:t>
      </w:r>
    </w:p>
    <w:p>
      <w:pPr>
        <w:spacing w:before="319" w:beforeLines="100" w:after="319" w:afterLines="100" w:line="360" w:lineRule="auto"/>
        <w:ind w:right="-21" w:rightChars="-10"/>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目  录</w:t>
      </w:r>
    </w:p>
    <w:p>
      <w:pPr>
        <w:rPr>
          <w:rFonts w:ascii="仿宋_GB2312" w:hAnsi="仿宋_GB2312" w:eastAsia="仿宋_GB2312" w:cs="仿宋_GB2312"/>
          <w:szCs w:val="24"/>
        </w:rPr>
      </w:pPr>
      <w:r>
        <w:rPr>
          <w:rFonts w:hint="eastAsia" w:ascii="仿宋_GB2312" w:hAnsi="仿宋_GB2312" w:eastAsia="仿宋_GB2312" w:cs="仿宋_GB2312"/>
          <w:szCs w:val="24"/>
        </w:rPr>
        <w:t>一、资格证明材料</w:t>
      </w:r>
    </w:p>
    <w:p>
      <w:pPr>
        <w:rPr>
          <w:rFonts w:ascii="仿宋_GB2312" w:hAnsi="仿宋_GB2312" w:eastAsia="仿宋_GB2312" w:cs="仿宋_GB2312"/>
          <w:szCs w:val="24"/>
        </w:rPr>
      </w:pPr>
      <w:r>
        <w:rPr>
          <w:rFonts w:hint="eastAsia" w:ascii="仿宋_GB2312" w:hAnsi="仿宋_GB2312" w:eastAsia="仿宋_GB2312" w:cs="仿宋_GB2312"/>
          <w:szCs w:val="24"/>
        </w:rPr>
        <w:t>……</w:t>
      </w:r>
    </w:p>
    <w:p>
      <w:pPr>
        <w:rPr>
          <w:rFonts w:ascii="仿宋_GB2312" w:hAnsi="仿宋_GB2312" w:eastAsia="仿宋_GB2312" w:cs="仿宋_GB2312"/>
          <w:szCs w:val="24"/>
        </w:rPr>
      </w:pPr>
      <w:r>
        <w:rPr>
          <w:rFonts w:hint="eastAsia" w:ascii="仿宋_GB2312" w:hAnsi="仿宋_GB2312" w:eastAsia="仿宋_GB2312" w:cs="仿宋_GB2312"/>
          <w:szCs w:val="24"/>
        </w:rPr>
        <w:t>二、符合性证明材料</w:t>
      </w:r>
    </w:p>
    <w:p>
      <w:pPr>
        <w:rPr>
          <w:rFonts w:ascii="仿宋_GB2312" w:hAnsi="仿宋_GB2312" w:eastAsia="仿宋_GB2312" w:cs="仿宋_GB2312"/>
          <w:szCs w:val="24"/>
        </w:rPr>
      </w:pPr>
      <w:r>
        <w:rPr>
          <w:rFonts w:hint="eastAsia" w:ascii="仿宋_GB2312" w:hAnsi="仿宋_GB2312" w:eastAsia="仿宋_GB2312" w:cs="仿宋_GB2312"/>
          <w:szCs w:val="24"/>
        </w:rPr>
        <w:t>……</w:t>
      </w:r>
    </w:p>
    <w:p>
      <w:pPr>
        <w:rPr>
          <w:rFonts w:ascii="仿宋_GB2312" w:hAnsi="仿宋_GB2312" w:eastAsia="仿宋_GB2312" w:cs="仿宋_GB2312"/>
          <w:szCs w:val="24"/>
        </w:rPr>
      </w:pPr>
      <w:r>
        <w:rPr>
          <w:rFonts w:hint="eastAsia" w:ascii="仿宋_GB2312" w:hAnsi="仿宋_GB2312" w:eastAsia="仿宋_GB2312" w:cs="仿宋_GB2312"/>
          <w:szCs w:val="24"/>
        </w:rPr>
        <w:t>三、其它材料</w:t>
      </w:r>
    </w:p>
    <w:p>
      <w:pPr>
        <w:rPr>
          <w:rFonts w:ascii="仿宋_GB2312" w:hAnsi="仿宋_GB2312" w:eastAsia="仿宋_GB2312" w:cs="仿宋_GB2312"/>
          <w:szCs w:val="21"/>
        </w:rPr>
      </w:pPr>
      <w:r>
        <w:rPr>
          <w:rFonts w:hint="eastAsia" w:ascii="仿宋_GB2312" w:hAnsi="仿宋_GB2312" w:eastAsia="仿宋_GB2312" w:cs="仿宋_GB2312"/>
          <w:szCs w:val="21"/>
        </w:rPr>
        <w:t>……</w:t>
      </w: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adjustRightInd w:val="0"/>
        <w:snapToGrid w:val="0"/>
        <w:spacing w:line="360" w:lineRule="auto"/>
        <w:ind w:firstLine="420" w:firstLineChars="200"/>
        <w:rPr>
          <w:rFonts w:ascii="仿宋_GB2312" w:hAnsi="仿宋_GB2312" w:eastAsia="仿宋_GB2312" w:cs="仿宋_GB2312"/>
          <w:szCs w:val="24"/>
        </w:rPr>
      </w:pPr>
      <w:r>
        <w:rPr>
          <w:rFonts w:hint="eastAsia" w:ascii="仿宋_GB2312" w:hAnsi="仿宋_GB2312" w:eastAsia="仿宋_GB2312" w:cs="仿宋_GB2312"/>
          <w:szCs w:val="24"/>
        </w:rPr>
        <w:t>我单位的投标文件由资格证明材料、符合性证明材料和其它材料三部分组成，在此加盖单位公章并由法定代表人（或非法人组织负责人）或其授权委托人签字，保证投标文件中所有材料真实、有效。</w:t>
      </w: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rPr>
          <w:rFonts w:ascii="仿宋_GB2312" w:hAnsi="仿宋_GB2312" w:eastAsia="仿宋_GB2312" w:cs="仿宋_GB2312"/>
          <w:szCs w:val="24"/>
        </w:rPr>
      </w:pPr>
    </w:p>
    <w:p>
      <w:pPr>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投标人名称（加盖单位公章）：</w:t>
      </w:r>
      <w:r>
        <w:rPr>
          <w:rFonts w:hint="eastAsia" w:ascii="仿宋_GB2312" w:hAnsi="仿宋_GB2312" w:eastAsia="仿宋_GB2312" w:cs="仿宋_GB2312"/>
          <w:szCs w:val="24"/>
          <w:u w:val="single"/>
        </w:rPr>
        <w:t xml:space="preserve">           </w:t>
      </w:r>
    </w:p>
    <w:p>
      <w:pPr>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szCs w:val="24"/>
        </w:rPr>
        <w:t>其授权委托人(签字或盖章)：</w:t>
      </w:r>
      <w:r>
        <w:rPr>
          <w:rFonts w:hint="eastAsia" w:ascii="仿宋_GB2312" w:hAnsi="仿宋_GB2312" w:eastAsia="仿宋_GB2312" w:cs="仿宋_GB2312"/>
          <w:szCs w:val="24"/>
          <w:u w:val="single"/>
        </w:rPr>
        <w:t xml:space="preserve">           </w:t>
      </w:r>
    </w:p>
    <w:p>
      <w:r>
        <w:rPr>
          <w:rFonts w:hint="eastAsia" w:ascii="仿宋_GB2312" w:hAnsi="仿宋_GB2312" w:eastAsia="仿宋_GB2312" w:cs="仿宋_GB2312"/>
          <w:szCs w:val="24"/>
        </w:rPr>
        <w:t>日期：</w:t>
      </w:r>
      <w:r>
        <w:rPr>
          <w:rFonts w:hint="eastAsia" w:ascii="仿宋_GB2312" w:hAnsi="仿宋_GB2312" w:eastAsia="仿宋_GB2312" w:cs="仿宋_GB2312"/>
          <w:szCs w:val="24"/>
          <w:u w:val="single"/>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四、营业执照或事业单位法人证书或执业许可证等证明文件复印件或自然人的身份证明复印件</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五、法定代表人（或非法人组织负责人）身份证明书（自然人投标的无需提供）</w:t>
      </w:r>
    </w:p>
    <w:p>
      <w:pPr>
        <w:spacing w:before="319" w:beforeLines="100" w:after="319" w:afterLines="100" w:line="360" w:lineRule="auto"/>
        <w:ind w:right="-21" w:rightChars="-10"/>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法定代表人（或非法人组织负责人）身份证明书</w:t>
      </w:r>
    </w:p>
    <w:p>
      <w:pPr>
        <w:spacing w:line="360" w:lineRule="auto"/>
        <w:ind w:firstLine="840" w:firstLineChars="400"/>
        <w:rPr>
          <w:rFonts w:ascii="仿宋_GB2312" w:hAnsi="仿宋_GB2312" w:eastAsia="仿宋_GB2312" w:cs="仿宋_GB2312"/>
          <w:szCs w:val="21"/>
        </w:rPr>
      </w:pPr>
      <w:r>
        <w:rPr>
          <w:rFonts w:hint="eastAsia" w:ascii="仿宋_GB2312" w:hAnsi="仿宋_GB2312" w:eastAsia="仿宋_GB2312" w:cs="仿宋_GB2312"/>
          <w:szCs w:val="21"/>
        </w:rPr>
        <w:t>姓名：</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，性别：</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，出生日期：</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，现任职务：</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，系</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（投标人名称）的法定代表人（或非法人组织负责人）。</w:t>
      </w:r>
    </w:p>
    <w:p>
      <w:pPr>
        <w:rPr>
          <w:rFonts w:ascii="仿宋_GB2312" w:hAnsi="仿宋_GB2312" w:eastAsia="仿宋_GB2312" w:cs="仿宋_GB2312"/>
          <w:szCs w:val="21"/>
        </w:rPr>
      </w:pPr>
      <w:r>
        <w:rPr>
          <w:rFonts w:hint="eastAsia" w:ascii="仿宋_GB2312" w:hAnsi="仿宋_GB2312" w:eastAsia="仿宋_GB2312" w:cs="仿宋_GB2312"/>
          <w:szCs w:val="21"/>
        </w:rPr>
        <w:t xml:space="preserve">            </w:t>
      </w:r>
    </w:p>
    <w:p>
      <w:pPr>
        <w:rPr>
          <w:rFonts w:ascii="仿宋_GB2312" w:hAnsi="仿宋_GB2312" w:eastAsia="仿宋_GB2312" w:cs="仿宋_GB2312"/>
          <w:szCs w:val="21"/>
        </w:rPr>
      </w:pPr>
      <w:r>
        <w:rPr>
          <w:rFonts w:hint="eastAsia" w:ascii="仿宋_GB2312" w:hAnsi="仿宋_GB2312" w:eastAsia="仿宋_GB2312" w:cs="仿宋_GB2312"/>
          <w:szCs w:val="21"/>
        </w:rPr>
        <w:t>特此证明。</w:t>
      </w: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tbl>
      <w:tblPr>
        <w:tblStyle w:val="20"/>
        <w:tblW w:w="82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8228" w:type="dxa"/>
            <w:noWrap w:val="0"/>
            <w:vAlign w:val="top"/>
          </w:tcPr>
          <w:p>
            <w:pPr>
              <w:jc w:val="center"/>
              <w:rPr>
                <w:rFonts w:ascii="仿宋_GB2312" w:hAnsi="仿宋_GB2312" w:eastAsia="仿宋_GB2312" w:cs="仿宋_GB2312"/>
                <w:szCs w:val="21"/>
              </w:rPr>
            </w:pPr>
            <w:r>
              <w:rPr>
                <w:rFonts w:hint="eastAsia" w:ascii="仿宋_GB2312" w:hAnsi="仿宋_GB2312" w:eastAsia="仿宋_GB2312" w:cs="仿宋_GB2312"/>
                <w:szCs w:val="21"/>
              </w:rPr>
              <w:t>（※法定代表人（或非法人组织负责人）身份证正、反面复印件※）</w:t>
            </w:r>
          </w:p>
        </w:tc>
      </w:tr>
    </w:tbl>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p>
    <w:p>
      <w:pPr>
        <w:spacing w:line="480" w:lineRule="auto"/>
        <w:rPr>
          <w:rFonts w:ascii="仿宋_GB2312" w:hAnsi="仿宋_GB2312" w:eastAsia="仿宋_GB2312" w:cs="仿宋_GB2312"/>
          <w:szCs w:val="24"/>
          <w:u w:val="single"/>
        </w:rPr>
      </w:pPr>
      <w:r>
        <w:rPr>
          <w:rFonts w:hint="eastAsia" w:ascii="仿宋_GB2312" w:hAnsi="仿宋_GB2312" w:eastAsia="仿宋_GB2312" w:cs="仿宋_GB2312"/>
          <w:szCs w:val="24"/>
        </w:rPr>
        <w:t>投标人名称（加盖单位公章）：</w:t>
      </w:r>
      <w:r>
        <w:rPr>
          <w:rFonts w:hint="eastAsia" w:ascii="仿宋_GB2312" w:hAnsi="仿宋_GB2312" w:eastAsia="仿宋_GB2312" w:cs="仿宋_GB2312"/>
          <w:szCs w:val="24"/>
          <w:u w:val="single"/>
        </w:rPr>
        <w:t xml:space="preserve">           </w:t>
      </w:r>
    </w:p>
    <w:p>
      <w:r>
        <w:rPr>
          <w:rFonts w:hint="eastAsia" w:ascii="仿宋_GB2312" w:hAnsi="仿宋_GB2312" w:eastAsia="仿宋_GB2312" w:cs="仿宋_GB2312"/>
          <w:szCs w:val="24"/>
        </w:rPr>
        <w:t>日期：</w:t>
      </w:r>
      <w:r>
        <w:rPr>
          <w:rFonts w:hint="eastAsia" w:ascii="仿宋_GB2312" w:hAnsi="仿宋_GB2312" w:eastAsia="仿宋_GB2312" w:cs="仿宋_GB2312"/>
          <w:szCs w:val="24"/>
          <w:u w:val="single"/>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六、法定代表人（或非法人组织负责人）授权委托书（授权委托人参加投标的须提供）</w:t>
      </w:r>
    </w:p>
    <w:p>
      <w:pPr>
        <w:spacing w:before="319" w:beforeLines="100" w:after="319" w:afterLines="100" w:line="360" w:lineRule="auto"/>
        <w:ind w:right="-21" w:rightChars="-10"/>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法定代表人（或非法人组织负责人）授权委托书</w:t>
      </w:r>
    </w:p>
    <w:p>
      <w:pPr>
        <w:spacing w:line="360" w:lineRule="auto"/>
        <w:ind w:firstLine="420" w:firstLineChars="200"/>
        <w:rPr>
          <w:rFonts w:ascii="仿宋_GB2312" w:hAnsi="仿宋_GB2312" w:eastAsia="仿宋_GB2312" w:cs="仿宋_GB2312"/>
          <w:szCs w:val="21"/>
          <w:u w:val="single"/>
        </w:rPr>
      </w:pPr>
      <w:r>
        <w:rPr>
          <w:rFonts w:hint="eastAsia" w:ascii="仿宋_GB2312" w:hAnsi="仿宋_GB2312" w:eastAsia="仿宋_GB2312" w:cs="仿宋_GB2312"/>
          <w:szCs w:val="21"/>
        </w:rPr>
        <w:t>单位名称：</w:t>
      </w:r>
      <w:r>
        <w:rPr>
          <w:rFonts w:hint="eastAsia" w:ascii="仿宋_GB2312" w:hAnsi="仿宋_GB2312" w:eastAsia="仿宋_GB2312" w:cs="仿宋_GB2312"/>
          <w:szCs w:val="21"/>
          <w:u w:val="single"/>
        </w:rPr>
        <w:t xml:space="preserve">                </w:t>
      </w:r>
    </w:p>
    <w:p>
      <w:pPr>
        <w:spacing w:line="360" w:lineRule="auto"/>
        <w:ind w:firstLine="420" w:firstLineChars="200"/>
        <w:rPr>
          <w:rFonts w:ascii="仿宋_GB2312" w:hAnsi="仿宋_GB2312" w:eastAsia="仿宋_GB2312" w:cs="仿宋_GB2312"/>
          <w:szCs w:val="21"/>
          <w:u w:val="single"/>
        </w:rPr>
      </w:pPr>
      <w:r>
        <w:rPr>
          <w:rFonts w:hint="eastAsia" w:ascii="仿宋_GB2312" w:hAnsi="仿宋_GB2312" w:eastAsia="仿宋_GB2312" w:cs="仿宋_GB2312"/>
          <w:szCs w:val="21"/>
        </w:rPr>
        <w:t>法定代表人（或非法人组织负责人）姓名：</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身份证号码：</w:t>
      </w:r>
      <w:r>
        <w:rPr>
          <w:rFonts w:hint="eastAsia" w:ascii="仿宋_GB2312" w:hAnsi="仿宋_GB2312" w:eastAsia="仿宋_GB2312" w:cs="仿宋_GB2312"/>
          <w:szCs w:val="21"/>
          <w:u w:val="single"/>
        </w:rPr>
        <w:t xml:space="preserve">         </w:t>
      </w:r>
    </w:p>
    <w:p>
      <w:pPr>
        <w:tabs>
          <w:tab w:val="left" w:pos="5205"/>
        </w:tabs>
        <w:spacing w:line="360" w:lineRule="auto"/>
        <w:ind w:firstLine="420" w:firstLineChars="200"/>
        <w:rPr>
          <w:rFonts w:ascii="仿宋_GB2312" w:hAnsi="仿宋_GB2312" w:eastAsia="仿宋_GB2312" w:cs="仿宋_GB2312"/>
          <w:szCs w:val="21"/>
          <w:u w:val="single"/>
        </w:rPr>
      </w:pPr>
      <w:r>
        <w:rPr>
          <w:rFonts w:hint="eastAsia" w:ascii="仿宋_GB2312" w:hAnsi="仿宋_GB2312" w:eastAsia="仿宋_GB2312" w:cs="仿宋_GB2312"/>
          <w:szCs w:val="21"/>
        </w:rPr>
        <w:t>住所地：</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u w:val="single"/>
        </w:rPr>
        <w:tab/>
      </w:r>
    </w:p>
    <w:p>
      <w:pPr>
        <w:spacing w:line="360" w:lineRule="auto"/>
        <w:ind w:firstLine="420" w:firstLineChars="200"/>
        <w:rPr>
          <w:rFonts w:ascii="仿宋_GB2312" w:hAnsi="仿宋_GB2312" w:eastAsia="仿宋_GB2312" w:cs="仿宋_GB2312"/>
          <w:szCs w:val="21"/>
          <w:u w:val="single"/>
        </w:rPr>
      </w:pPr>
      <w:r>
        <w:rPr>
          <w:rFonts w:hint="eastAsia" w:ascii="仿宋_GB2312" w:hAnsi="仿宋_GB2312" w:eastAsia="仿宋_GB2312" w:cs="仿宋_GB2312"/>
          <w:szCs w:val="21"/>
        </w:rPr>
        <w:t>授权委托人姓名：</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身份证号码：</w:t>
      </w:r>
      <w:r>
        <w:rPr>
          <w:rFonts w:hint="eastAsia" w:ascii="仿宋_GB2312" w:hAnsi="仿宋_GB2312" w:eastAsia="仿宋_GB2312" w:cs="仿宋_GB2312"/>
          <w:szCs w:val="21"/>
          <w:u w:val="single"/>
        </w:rPr>
        <w:t xml:space="preserve">         </w:t>
      </w:r>
    </w:p>
    <w:p>
      <w:pPr>
        <w:spacing w:line="360" w:lineRule="auto"/>
        <w:ind w:firstLine="420" w:firstLineChars="200"/>
        <w:rPr>
          <w:rFonts w:ascii="仿宋_GB2312" w:hAnsi="仿宋_GB2312" w:eastAsia="仿宋_GB2312" w:cs="仿宋_GB2312"/>
          <w:szCs w:val="21"/>
          <w:u w:val="single"/>
        </w:rPr>
      </w:pPr>
      <w:r>
        <w:rPr>
          <w:rFonts w:hint="eastAsia" w:ascii="仿宋_GB2312" w:hAnsi="仿宋_GB2312" w:eastAsia="仿宋_GB2312" w:cs="仿宋_GB2312"/>
          <w:szCs w:val="21"/>
        </w:rPr>
        <w:t>工作单位：</w:t>
      </w:r>
      <w:r>
        <w:rPr>
          <w:rFonts w:hint="eastAsia" w:ascii="仿宋_GB2312" w:hAnsi="仿宋_GB2312" w:eastAsia="仿宋_GB2312" w:cs="仿宋_GB2312"/>
          <w:szCs w:val="21"/>
          <w:u w:val="single"/>
        </w:rPr>
        <w:t xml:space="preserve">                  </w:t>
      </w:r>
    </w:p>
    <w:p>
      <w:pPr>
        <w:spacing w:line="360" w:lineRule="auto"/>
        <w:ind w:firstLine="420" w:firstLineChars="200"/>
        <w:rPr>
          <w:rFonts w:ascii="仿宋_GB2312" w:hAnsi="仿宋_GB2312" w:eastAsia="仿宋_GB2312" w:cs="仿宋_GB2312"/>
          <w:szCs w:val="21"/>
          <w:u w:val="single"/>
        </w:rPr>
      </w:pPr>
      <w:r>
        <w:rPr>
          <w:rFonts w:hint="eastAsia" w:ascii="仿宋_GB2312" w:hAnsi="仿宋_GB2312" w:eastAsia="仿宋_GB2312" w:cs="仿宋_GB2312"/>
          <w:szCs w:val="21"/>
        </w:rPr>
        <w:t>住址：</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电话：</w:t>
      </w:r>
      <w:r>
        <w:rPr>
          <w:rFonts w:hint="eastAsia" w:ascii="仿宋_GB2312" w:hAnsi="仿宋_GB2312" w:eastAsia="仿宋_GB2312" w:cs="仿宋_GB2312"/>
          <w:szCs w:val="21"/>
          <w:u w:val="single"/>
        </w:rPr>
        <w:t xml:space="preserve">               </w:t>
      </w:r>
    </w:p>
    <w:p>
      <w:pPr>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现委托</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就</w:t>
      </w:r>
      <w:r>
        <w:rPr>
          <w:rFonts w:hint="eastAsia" w:ascii="仿宋_GB2312" w:hAnsi="仿宋_GB2312" w:eastAsia="仿宋_GB2312" w:cs="仿宋_GB2312"/>
          <w:szCs w:val="21"/>
          <w:u w:val="single"/>
        </w:rPr>
        <w:t>（项目编号、项目名称、包号）</w:t>
      </w:r>
      <w:r>
        <w:rPr>
          <w:rFonts w:hint="eastAsia" w:ascii="仿宋_GB2312" w:hAnsi="仿宋_GB2312" w:eastAsia="仿宋_GB2312" w:cs="仿宋_GB2312"/>
          <w:szCs w:val="21"/>
        </w:rPr>
        <w:t>投标中，以我单位名义处理一切与之有关的事务。</w:t>
      </w:r>
    </w:p>
    <w:p>
      <w:pPr>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本授权书于</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年</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月</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日签字或盖章生效，无转委托，特此声明。</w:t>
      </w:r>
    </w:p>
    <w:p>
      <w:pPr>
        <w:spacing w:line="360" w:lineRule="auto"/>
        <w:rPr>
          <w:rFonts w:ascii="仿宋_GB2312" w:hAnsi="仿宋_GB2312" w:eastAsia="仿宋_GB2312" w:cs="仿宋_GB2312"/>
          <w:szCs w:val="21"/>
        </w:rPr>
      </w:pPr>
    </w:p>
    <w:tbl>
      <w:tblPr>
        <w:tblStyle w:val="20"/>
        <w:tblW w:w="82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8228" w:type="dxa"/>
            <w:noWrap w:val="0"/>
            <w:vAlign w:val="top"/>
          </w:tcPr>
          <w:p>
            <w:pPr>
              <w:jc w:val="center"/>
              <w:rPr>
                <w:rFonts w:ascii="仿宋_GB2312" w:hAnsi="仿宋_GB2312" w:eastAsia="仿宋_GB2312" w:cs="仿宋_GB2312"/>
                <w:szCs w:val="21"/>
              </w:rPr>
            </w:pPr>
            <w:r>
              <w:rPr>
                <w:rFonts w:hint="eastAsia" w:ascii="仿宋_GB2312" w:hAnsi="仿宋_GB2312" w:eastAsia="仿宋_GB2312" w:cs="仿宋_GB2312"/>
                <w:szCs w:val="21"/>
              </w:rPr>
              <w:t>（※授权委托人身份证正、反面复印件※）</w:t>
            </w:r>
          </w:p>
        </w:tc>
      </w:tr>
    </w:tbl>
    <w:p>
      <w:pPr>
        <w:spacing w:line="360" w:lineRule="auto"/>
        <w:rPr>
          <w:rFonts w:ascii="仿宋_GB2312" w:hAnsi="仿宋_GB2312" w:eastAsia="仿宋_GB2312" w:cs="仿宋_GB2312"/>
          <w:szCs w:val="21"/>
        </w:rPr>
      </w:pPr>
    </w:p>
    <w:p>
      <w:pPr>
        <w:spacing w:line="360" w:lineRule="auto"/>
        <w:rPr>
          <w:rFonts w:ascii="仿宋_GB2312" w:hAnsi="仿宋_GB2312" w:eastAsia="仿宋_GB2312" w:cs="仿宋_GB2312"/>
          <w:szCs w:val="21"/>
        </w:rPr>
      </w:pPr>
      <w:r>
        <w:rPr>
          <w:rFonts w:hint="eastAsia" w:ascii="仿宋_GB2312" w:hAnsi="仿宋_GB2312" w:eastAsia="仿宋_GB2312" w:cs="仿宋_GB2312"/>
          <w:szCs w:val="21"/>
        </w:rPr>
        <w:t>委托人（加盖单位公章）：</w:t>
      </w:r>
      <w:r>
        <w:rPr>
          <w:rFonts w:hint="eastAsia" w:ascii="仿宋_GB2312" w:hAnsi="仿宋_GB2312" w:eastAsia="仿宋_GB2312" w:cs="仿宋_GB2312"/>
          <w:szCs w:val="21"/>
          <w:u w:val="single"/>
        </w:rPr>
        <w:t xml:space="preserve">              </w:t>
      </w:r>
    </w:p>
    <w:p>
      <w:pPr>
        <w:spacing w:line="360" w:lineRule="auto"/>
        <w:rPr>
          <w:rFonts w:ascii="仿宋_GB2312" w:hAnsi="仿宋_GB2312" w:eastAsia="仿宋_GB2312" w:cs="仿宋_GB2312"/>
          <w:szCs w:val="21"/>
        </w:rPr>
      </w:pPr>
      <w:r>
        <w:rPr>
          <w:rFonts w:hint="eastAsia" w:ascii="仿宋_GB2312" w:hAnsi="仿宋_GB2312" w:eastAsia="仿宋_GB2312" w:cs="仿宋_GB2312"/>
          <w:szCs w:val="21"/>
        </w:rPr>
        <w:t>法定代表人（或非法人组织负责人）（签字或盖章）：</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w:t>
      </w:r>
    </w:p>
    <w:p>
      <w:pPr>
        <w:spacing w:line="360" w:lineRule="auto"/>
        <w:rPr>
          <w:rFonts w:ascii="仿宋_GB2312" w:hAnsi="仿宋_GB2312" w:eastAsia="仿宋_GB2312" w:cs="仿宋_GB2312"/>
          <w:szCs w:val="21"/>
        </w:rPr>
      </w:pPr>
      <w:r>
        <w:rPr>
          <w:rFonts w:hint="eastAsia" w:ascii="仿宋_GB2312" w:hAnsi="仿宋_GB2312" w:eastAsia="仿宋_GB2312" w:cs="仿宋_GB2312"/>
          <w:szCs w:val="21"/>
        </w:rPr>
        <w:t>授权委托人（签字或盖章）：</w:t>
      </w:r>
      <w:r>
        <w:rPr>
          <w:rFonts w:hint="eastAsia" w:ascii="仿宋_GB2312" w:hAnsi="仿宋_GB2312" w:eastAsia="仿宋_GB2312" w:cs="仿宋_GB2312"/>
          <w:szCs w:val="21"/>
          <w:u w:val="single"/>
        </w:rPr>
        <w:t xml:space="preserve">              </w:t>
      </w:r>
    </w:p>
    <w:p>
      <w:pPr>
        <w:spacing w:line="360" w:lineRule="auto"/>
        <w:rPr>
          <w:rFonts w:ascii="仿宋_GB2312" w:hAnsi="仿宋_GB2312" w:eastAsia="仿宋_GB2312" w:cs="仿宋_GB2312"/>
          <w:szCs w:val="21"/>
        </w:rPr>
      </w:pPr>
      <w:r>
        <w:rPr>
          <w:rFonts w:hint="eastAsia" w:ascii="仿宋_GB2312" w:hAnsi="仿宋_GB2312" w:eastAsia="仿宋_GB2312" w:cs="仿宋_GB2312"/>
          <w:szCs w:val="21"/>
        </w:rPr>
        <w:t>详细通讯地址：</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邮政编码 ：</w:t>
      </w:r>
      <w:r>
        <w:rPr>
          <w:rFonts w:hint="eastAsia" w:ascii="仿宋_GB2312" w:hAnsi="仿宋_GB2312" w:eastAsia="仿宋_GB2312" w:cs="仿宋_GB2312"/>
          <w:szCs w:val="21"/>
          <w:u w:val="single"/>
        </w:rPr>
        <w:t xml:space="preserve">              </w:t>
      </w:r>
    </w:p>
    <w:p>
      <w:pPr>
        <w:spacing w:line="360" w:lineRule="auto"/>
        <w:rPr>
          <w:rFonts w:ascii="仿宋_GB2312" w:hAnsi="仿宋_GB2312" w:eastAsia="仿宋_GB2312" w:cs="仿宋_GB2312"/>
          <w:szCs w:val="21"/>
          <w:u w:val="single"/>
        </w:rPr>
      </w:pPr>
      <w:r>
        <w:rPr>
          <w:rFonts w:hint="eastAsia" w:ascii="仿宋_GB2312" w:hAnsi="仿宋_GB2312" w:eastAsia="仿宋_GB2312" w:cs="仿宋_GB2312"/>
          <w:szCs w:val="21"/>
        </w:rPr>
        <w:t>传        真：</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电     话：</w:t>
      </w:r>
      <w:r>
        <w:rPr>
          <w:rFonts w:hint="eastAsia" w:ascii="仿宋_GB2312" w:hAnsi="仿宋_GB2312" w:eastAsia="仿宋_GB2312" w:cs="仿宋_GB2312"/>
          <w:szCs w:val="21"/>
          <w:u w:val="single"/>
        </w:rPr>
        <w:t xml:space="preserve">              </w:t>
      </w:r>
    </w:p>
    <w:p>
      <w:r>
        <w:rPr>
          <w:rFonts w:hint="eastAsia" w:ascii="仿宋_GB2312" w:hAnsi="仿宋_GB2312" w:eastAsia="仿宋_GB2312" w:cs="仿宋_GB2312"/>
          <w:szCs w:val="21"/>
        </w:rPr>
        <w:t>日        期:</w:t>
      </w:r>
      <w:r>
        <w:rPr>
          <w:rFonts w:hint="eastAsia" w:ascii="仿宋_GB2312" w:hAnsi="仿宋_GB2312" w:eastAsia="仿宋_GB2312" w:cs="仿宋_GB2312"/>
          <w:szCs w:val="21"/>
          <w:u w:val="single"/>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七、具有良好的商业信誉和健全的财务会计制度的承诺函</w:t>
      </w:r>
    </w:p>
    <w:p>
      <w:pPr>
        <w:spacing w:before="319" w:beforeLines="100" w:after="319" w:afterLines="100" w:line="360" w:lineRule="auto"/>
        <w:ind w:right="-21" w:rightChars="-10"/>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具有良好的商业信誉和健全的财务会计制度的承诺函</w:t>
      </w:r>
    </w:p>
    <w:p>
      <w:pPr>
        <w:spacing w:before="319" w:beforeLines="100" w:after="319" w:afterLines="100" w:line="480" w:lineRule="exact"/>
        <w:ind w:right="630" w:rightChars="300"/>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（格式自拟）</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投标人名称（加盖单位公章）：</w:t>
      </w:r>
      <w:r>
        <w:rPr>
          <w:rFonts w:hint="eastAsia" w:ascii="仿宋_GB2312" w:hAnsi="仿宋_GB2312" w:eastAsia="仿宋_GB2312" w:cs="仿宋_GB2312"/>
          <w:szCs w:val="24"/>
          <w:u w:val="single"/>
        </w:rPr>
        <w:t xml:space="preserve">           </w:t>
      </w:r>
    </w:p>
    <w:p>
      <w:pPr>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szCs w:val="24"/>
        </w:rPr>
        <w:t>其</w:t>
      </w:r>
      <w:r>
        <w:rPr>
          <w:rFonts w:hint="eastAsia" w:ascii="仿宋_GB2312" w:hAnsi="仿宋_GB2312" w:eastAsia="仿宋_GB2312" w:cs="仿宋_GB2312"/>
          <w:szCs w:val="21"/>
        </w:rPr>
        <w:t>授权委托人</w:t>
      </w:r>
      <w:r>
        <w:rPr>
          <w:rFonts w:hint="eastAsia" w:ascii="仿宋_GB2312" w:hAnsi="仿宋_GB2312" w:eastAsia="仿宋_GB2312" w:cs="仿宋_GB2312"/>
          <w:szCs w:val="24"/>
        </w:rPr>
        <w:t>(签字或盖章)：</w:t>
      </w:r>
      <w:r>
        <w:rPr>
          <w:rFonts w:hint="eastAsia" w:ascii="仿宋_GB2312" w:hAnsi="仿宋_GB2312" w:eastAsia="仿宋_GB2312" w:cs="仿宋_GB2312"/>
          <w:szCs w:val="24"/>
          <w:u w:val="single"/>
        </w:rPr>
        <w:t xml:space="preserve">           </w:t>
      </w:r>
    </w:p>
    <w:p>
      <w:r>
        <w:rPr>
          <w:rFonts w:hint="eastAsia" w:ascii="仿宋_GB2312" w:hAnsi="仿宋_GB2312" w:eastAsia="仿宋_GB2312" w:cs="仿宋_GB2312"/>
          <w:szCs w:val="24"/>
        </w:rPr>
        <w:t>日期：</w:t>
      </w:r>
      <w:r>
        <w:rPr>
          <w:rFonts w:hint="eastAsia" w:ascii="仿宋_GB2312" w:hAnsi="仿宋_GB2312" w:eastAsia="仿宋_GB2312" w:cs="仿宋_GB2312"/>
          <w:szCs w:val="24"/>
          <w:u w:val="single"/>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八、开标时间前六个月内任一个月的依法缴纳税收的缴款凭据复印件</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九、开标时间前六个月内任一个月的依法缴纳社会保障资金的缴款凭据复印件</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十、具备履行合同所必需的设备和专业技术能力声明函</w:t>
      </w:r>
    </w:p>
    <w:p>
      <w:pPr>
        <w:spacing w:before="319" w:beforeLines="100" w:after="319" w:afterLines="100" w:line="360" w:lineRule="auto"/>
        <w:ind w:right="-21" w:rightChars="-10"/>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具备履行合同所必需的设备和专业技术能力声明函</w:t>
      </w:r>
    </w:p>
    <w:p>
      <w:pPr>
        <w:spacing w:before="319" w:beforeLines="100" w:after="319" w:afterLines="100" w:line="480" w:lineRule="exact"/>
        <w:ind w:right="630" w:rightChars="300"/>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（格式自拟）</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投标人名称（加盖单位公章）：</w:t>
      </w:r>
      <w:r>
        <w:rPr>
          <w:rFonts w:hint="eastAsia" w:ascii="仿宋_GB2312" w:hAnsi="仿宋_GB2312" w:eastAsia="仿宋_GB2312" w:cs="仿宋_GB2312"/>
          <w:szCs w:val="24"/>
          <w:u w:val="single"/>
        </w:rPr>
        <w:t xml:space="preserve">           </w:t>
      </w:r>
    </w:p>
    <w:p>
      <w:pPr>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szCs w:val="24"/>
        </w:rPr>
        <w:t>其</w:t>
      </w:r>
      <w:r>
        <w:rPr>
          <w:rFonts w:hint="eastAsia" w:ascii="仿宋_GB2312" w:hAnsi="仿宋_GB2312" w:eastAsia="仿宋_GB2312" w:cs="仿宋_GB2312"/>
          <w:szCs w:val="21"/>
        </w:rPr>
        <w:t>授权委托人</w:t>
      </w:r>
      <w:r>
        <w:rPr>
          <w:rFonts w:hint="eastAsia" w:ascii="仿宋_GB2312" w:hAnsi="仿宋_GB2312" w:eastAsia="仿宋_GB2312" w:cs="仿宋_GB2312"/>
          <w:szCs w:val="24"/>
        </w:rPr>
        <w:t>(签字或盖章)：</w:t>
      </w:r>
      <w:r>
        <w:rPr>
          <w:rFonts w:hint="eastAsia" w:ascii="仿宋_GB2312" w:hAnsi="仿宋_GB2312" w:eastAsia="仿宋_GB2312" w:cs="仿宋_GB2312"/>
          <w:szCs w:val="24"/>
          <w:u w:val="single"/>
        </w:rPr>
        <w:t xml:space="preserve">           </w:t>
      </w:r>
    </w:p>
    <w:p>
      <w:r>
        <w:rPr>
          <w:rFonts w:hint="eastAsia" w:ascii="仿宋_GB2312" w:hAnsi="仿宋_GB2312" w:eastAsia="仿宋_GB2312" w:cs="仿宋_GB2312"/>
          <w:szCs w:val="24"/>
        </w:rPr>
        <w:t>日期：</w:t>
      </w:r>
      <w:r>
        <w:rPr>
          <w:rFonts w:hint="eastAsia" w:ascii="仿宋_GB2312" w:hAnsi="仿宋_GB2312" w:eastAsia="仿宋_GB2312" w:cs="仿宋_GB2312"/>
          <w:szCs w:val="24"/>
          <w:u w:val="single"/>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十一、参加政府采购活动前3年内在经营活动中没有重大违法记录的书面声明</w:t>
      </w:r>
    </w:p>
    <w:p>
      <w:pPr>
        <w:spacing w:before="319" w:beforeLines="100" w:after="319" w:afterLines="100" w:line="480" w:lineRule="exact"/>
        <w:ind w:right="630" w:rightChars="300"/>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参加政府采购活动前3年内在经营活动中没有重大违法记录的书面声明</w:t>
      </w:r>
    </w:p>
    <w:p>
      <w:pPr>
        <w:spacing w:line="360" w:lineRule="auto"/>
        <w:ind w:right="630" w:rightChars="300"/>
        <w:rPr>
          <w:rFonts w:ascii="仿宋_GB2312" w:hAnsi="仿宋_GB2312" w:eastAsia="仿宋_GB2312" w:cs="仿宋_GB2312"/>
          <w:b/>
          <w:szCs w:val="21"/>
        </w:rPr>
      </w:pPr>
      <w:r>
        <w:rPr>
          <w:rFonts w:hint="eastAsia" w:ascii="仿宋_GB2312" w:hAnsi="仿宋_GB2312" w:eastAsia="仿宋_GB2312" w:cs="仿宋_GB2312"/>
          <w:b/>
          <w:szCs w:val="21"/>
          <w:u w:val="single"/>
        </w:rPr>
        <w:t xml:space="preserve">（采购人或采购代理机构名称） </w:t>
      </w:r>
      <w:r>
        <w:rPr>
          <w:rFonts w:hint="eastAsia" w:ascii="仿宋_GB2312" w:hAnsi="仿宋_GB2312" w:eastAsia="仿宋_GB2312" w:cs="仿宋_GB2312"/>
          <w:b/>
          <w:szCs w:val="21"/>
        </w:rPr>
        <w:t xml:space="preserve"> ：</w:t>
      </w:r>
    </w:p>
    <w:p>
      <w:pPr>
        <w:spacing w:line="360" w:lineRule="auto"/>
        <w:ind w:right="-21" w:rightChars="-10" w:firstLine="493" w:firstLineChars="235"/>
        <w:rPr>
          <w:rFonts w:ascii="仿宋_GB2312" w:hAnsi="仿宋_GB2312" w:eastAsia="仿宋_GB2312" w:cs="仿宋_GB2312"/>
          <w:szCs w:val="21"/>
        </w:rPr>
      </w:pPr>
      <w:r>
        <w:rPr>
          <w:rFonts w:hint="eastAsia" w:ascii="仿宋_GB2312" w:hAnsi="仿宋_GB2312" w:eastAsia="仿宋_GB2312" w:cs="仿宋_GB2312"/>
          <w:szCs w:val="21"/>
        </w:rPr>
        <w:t>在本项目递交投标文件截止时间前，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tabs>
          <w:tab w:val="left" w:pos="10065"/>
        </w:tabs>
        <w:spacing w:line="360" w:lineRule="auto"/>
        <w:ind w:right="-21" w:rightChars="-10" w:firstLine="371" w:firstLineChars="177"/>
        <w:rPr>
          <w:rFonts w:ascii="仿宋_GB2312" w:hAnsi="仿宋_GB2312" w:eastAsia="仿宋_GB2312" w:cs="仿宋_GB2312"/>
          <w:szCs w:val="21"/>
        </w:rPr>
      </w:pPr>
      <w:r>
        <w:rPr>
          <w:rFonts w:hint="eastAsia" w:ascii="仿宋_GB2312" w:hAnsi="仿宋_GB2312" w:eastAsia="仿宋_GB2312" w:cs="仿宋_GB2312"/>
          <w:szCs w:val="21"/>
        </w:rPr>
        <w:t>如发现我单位提供的声明函不实时，我单位将按照《政府采购法》有关提供虚假材料的规定，接受处罚。</w:t>
      </w:r>
    </w:p>
    <w:p>
      <w:pPr>
        <w:spacing w:line="360" w:lineRule="auto"/>
        <w:ind w:right="1050" w:rightChars="50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特此声明。</w:t>
      </w:r>
    </w:p>
    <w:p>
      <w:pPr>
        <w:spacing w:line="500" w:lineRule="exact"/>
        <w:ind w:right="1050" w:rightChars="500"/>
        <w:rPr>
          <w:rFonts w:ascii="仿宋_GB2312" w:hAnsi="仿宋_GB2312" w:eastAsia="仿宋_GB2312" w:cs="仿宋_GB2312"/>
          <w:szCs w:val="21"/>
        </w:rPr>
      </w:pPr>
    </w:p>
    <w:p>
      <w:pPr>
        <w:spacing w:before="160" w:beforeLines="50" w:after="160" w:afterLines="50" w:line="400" w:lineRule="exact"/>
        <w:ind w:right="1050" w:rightChars="500"/>
        <w:rPr>
          <w:rFonts w:ascii="仿宋_GB2312" w:hAnsi="仿宋_GB2312" w:eastAsia="仿宋_GB2312" w:cs="仿宋_GB2312"/>
          <w:szCs w:val="21"/>
        </w:rPr>
      </w:pPr>
    </w:p>
    <w:p>
      <w:pPr>
        <w:spacing w:before="160" w:beforeLines="50" w:after="160" w:afterLines="50" w:line="400" w:lineRule="exact"/>
        <w:ind w:right="1050" w:rightChars="500"/>
        <w:rPr>
          <w:rFonts w:ascii="仿宋_GB2312" w:hAnsi="仿宋_GB2312" w:eastAsia="仿宋_GB2312" w:cs="仿宋_GB2312"/>
          <w:szCs w:val="21"/>
        </w:rPr>
      </w:pPr>
    </w:p>
    <w:p>
      <w:pPr>
        <w:spacing w:before="160" w:beforeLines="50" w:after="160" w:afterLines="50" w:line="400" w:lineRule="exact"/>
        <w:ind w:right="1050" w:rightChars="500"/>
        <w:rPr>
          <w:rFonts w:ascii="仿宋_GB2312" w:hAnsi="仿宋_GB2312" w:eastAsia="仿宋_GB2312" w:cs="仿宋_GB2312"/>
          <w:szCs w:val="21"/>
        </w:rPr>
      </w:pPr>
    </w:p>
    <w:p>
      <w:pPr>
        <w:spacing w:line="360" w:lineRule="exact"/>
        <w:ind w:right="1050" w:rightChars="500"/>
        <w:rPr>
          <w:rFonts w:ascii="仿宋_GB2312" w:hAnsi="仿宋_GB2312" w:eastAsia="仿宋_GB2312" w:cs="仿宋_GB2312"/>
          <w:szCs w:val="21"/>
        </w:rPr>
      </w:pPr>
    </w:p>
    <w:p>
      <w:pPr>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投标人名称（加盖单位公章）：</w:t>
      </w:r>
      <w:r>
        <w:rPr>
          <w:rFonts w:hint="eastAsia" w:ascii="仿宋_GB2312" w:hAnsi="仿宋_GB2312" w:eastAsia="仿宋_GB2312" w:cs="仿宋_GB2312"/>
          <w:szCs w:val="24"/>
          <w:u w:val="single"/>
        </w:rPr>
        <w:t xml:space="preserve">           </w:t>
      </w:r>
    </w:p>
    <w:p>
      <w:pPr>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szCs w:val="24"/>
        </w:rPr>
        <w:t>其</w:t>
      </w:r>
      <w:r>
        <w:rPr>
          <w:rFonts w:hint="eastAsia" w:ascii="仿宋_GB2312" w:hAnsi="仿宋_GB2312" w:eastAsia="仿宋_GB2312" w:cs="仿宋_GB2312"/>
          <w:szCs w:val="21"/>
        </w:rPr>
        <w:t>授权委托人</w:t>
      </w:r>
      <w:r>
        <w:rPr>
          <w:rFonts w:hint="eastAsia" w:ascii="仿宋_GB2312" w:hAnsi="仿宋_GB2312" w:eastAsia="仿宋_GB2312" w:cs="仿宋_GB2312"/>
          <w:szCs w:val="24"/>
        </w:rPr>
        <w:t>(签字或盖章)：</w:t>
      </w:r>
      <w:r>
        <w:rPr>
          <w:rFonts w:hint="eastAsia" w:ascii="仿宋_GB2312" w:hAnsi="仿宋_GB2312" w:eastAsia="仿宋_GB2312" w:cs="仿宋_GB2312"/>
          <w:szCs w:val="24"/>
          <w:u w:val="single"/>
        </w:rPr>
        <w:t xml:space="preserve">           </w:t>
      </w:r>
    </w:p>
    <w:p>
      <w:r>
        <w:rPr>
          <w:rFonts w:hint="eastAsia" w:ascii="仿宋_GB2312" w:hAnsi="仿宋_GB2312" w:eastAsia="仿宋_GB2312" w:cs="仿宋_GB2312"/>
          <w:szCs w:val="24"/>
        </w:rPr>
        <w:t>日期：</w:t>
      </w:r>
      <w:r>
        <w:rPr>
          <w:rFonts w:hint="eastAsia" w:ascii="仿宋_GB2312" w:hAnsi="仿宋_GB2312" w:eastAsia="仿宋_GB2312" w:cs="仿宋_GB2312"/>
          <w:szCs w:val="24"/>
          <w:u w:val="single"/>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十二、信用记录</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十三、投标函</w:t>
      </w:r>
    </w:p>
    <w:p>
      <w:pPr>
        <w:spacing w:before="319" w:beforeLines="100" w:after="319" w:afterLines="100" w:line="360" w:lineRule="auto"/>
        <w:ind w:right="-21" w:rightChars="-10"/>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投标函（适用纸质投标）</w:t>
      </w:r>
    </w:p>
    <w:p>
      <w:pPr>
        <w:adjustRightInd w:val="0"/>
        <w:snapToGrid w:val="0"/>
        <w:spacing w:line="360" w:lineRule="auto"/>
        <w:ind w:right="630" w:rightChars="300"/>
        <w:rPr>
          <w:rFonts w:ascii="仿宋_GB2312" w:hAnsi="仿宋_GB2312" w:eastAsia="仿宋_GB2312" w:cs="仿宋_GB2312"/>
          <w:szCs w:val="21"/>
          <w:u w:val="single"/>
        </w:rPr>
      </w:pPr>
      <w:r>
        <w:rPr>
          <w:rFonts w:hint="eastAsia" w:ascii="仿宋_GB2312" w:hAnsi="仿宋_GB2312" w:eastAsia="仿宋_GB2312" w:cs="仿宋_GB2312"/>
          <w:szCs w:val="21"/>
          <w:u w:val="single"/>
        </w:rPr>
        <w:t>（采购人或采购代理机构）：</w:t>
      </w: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 xml:space="preserve">    根据贵方</w:t>
      </w:r>
      <w:r>
        <w:rPr>
          <w:rFonts w:hint="eastAsia" w:ascii="仿宋_GB2312" w:hAnsi="仿宋_GB2312" w:eastAsia="仿宋_GB2312" w:cs="仿宋_GB2312"/>
          <w:szCs w:val="21"/>
          <w:u w:val="single"/>
        </w:rPr>
        <w:t>(项目名称)</w:t>
      </w:r>
      <w:r>
        <w:rPr>
          <w:rFonts w:hint="eastAsia" w:ascii="仿宋_GB2312" w:hAnsi="仿宋_GB2312" w:eastAsia="仿宋_GB2312" w:cs="仿宋_GB2312"/>
          <w:szCs w:val="21"/>
        </w:rPr>
        <w:t>项目的招标公告</w:t>
      </w:r>
      <w:r>
        <w:rPr>
          <w:rFonts w:hint="eastAsia" w:ascii="仿宋_GB2312" w:hAnsi="仿宋_GB2312" w:eastAsia="仿宋_GB2312" w:cs="仿宋_GB2312"/>
          <w:szCs w:val="21"/>
          <w:u w:val="single"/>
        </w:rPr>
        <w:t>(招标编号)</w:t>
      </w:r>
      <w:r>
        <w:rPr>
          <w:rFonts w:hint="eastAsia" w:ascii="仿宋_GB2312" w:hAnsi="仿宋_GB2312" w:eastAsia="仿宋_GB2312" w:cs="仿宋_GB2312"/>
          <w:szCs w:val="21"/>
        </w:rPr>
        <w:t>,签字代表</w:t>
      </w:r>
      <w:r>
        <w:rPr>
          <w:rFonts w:hint="eastAsia" w:ascii="仿宋_GB2312" w:hAnsi="仿宋_GB2312" w:eastAsia="仿宋_GB2312" w:cs="仿宋_GB2312"/>
          <w:szCs w:val="21"/>
          <w:u w:val="single"/>
        </w:rPr>
        <w:t>(姓名、职务)</w:t>
      </w:r>
      <w:r>
        <w:rPr>
          <w:rFonts w:hint="eastAsia" w:ascii="仿宋_GB2312" w:hAnsi="仿宋_GB2312" w:eastAsia="仿宋_GB2312" w:cs="仿宋_GB2312"/>
          <w:szCs w:val="21"/>
        </w:rPr>
        <w:t>经正式授权并代表投标人</w:t>
      </w:r>
      <w:r>
        <w:rPr>
          <w:rFonts w:hint="eastAsia" w:ascii="仿宋_GB2312" w:hAnsi="仿宋_GB2312" w:eastAsia="仿宋_GB2312" w:cs="仿宋_GB2312"/>
          <w:szCs w:val="21"/>
          <w:u w:val="single"/>
        </w:rPr>
        <w:t>（名称、地址）</w:t>
      </w:r>
      <w:r>
        <w:rPr>
          <w:rFonts w:hint="eastAsia" w:ascii="仿宋_GB2312" w:hAnsi="仿宋_GB2312" w:eastAsia="仿宋_GB2312" w:cs="仿宋_GB2312"/>
          <w:szCs w:val="21"/>
        </w:rPr>
        <w:t>提交下述文件正本</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份、副本</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份及电子文档</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份，并以</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形式出具的金额为</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人民币元的投标保证金。</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据此，签字代表宣布同意如下：</w:t>
      </w:r>
    </w:p>
    <w:p>
      <w:pPr>
        <w:numPr>
          <w:ilvl w:val="0"/>
          <w:numId w:val="5"/>
        </w:num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本项目投标总价详见开标一览表。</w:t>
      </w:r>
    </w:p>
    <w:p>
      <w:pPr>
        <w:numPr>
          <w:ilvl w:val="0"/>
          <w:numId w:val="5"/>
        </w:num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本投标有效期为自递交投标文件截止之日起</w:t>
      </w:r>
      <w:r>
        <w:rPr>
          <w:rFonts w:hint="eastAsia" w:ascii="仿宋_GB2312" w:hAnsi="仿宋_GB2312" w:eastAsia="仿宋_GB2312" w:cs="仿宋_GB2312"/>
          <w:szCs w:val="21"/>
          <w:u w:val="single"/>
        </w:rPr>
        <w:t>90</w:t>
      </w:r>
      <w:r>
        <w:rPr>
          <w:rFonts w:hint="eastAsia" w:ascii="仿宋_GB2312" w:hAnsi="仿宋_GB2312" w:eastAsia="仿宋_GB2312" w:cs="仿宋_GB2312"/>
          <w:szCs w:val="21"/>
        </w:rPr>
        <w:t>日历日。</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（3）已详细审查全部招标文件，包括所有补充通知（如果有的话）。</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（4）在规定的开标时间后，遵守招标文件中有关保证金的规定。</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（5）我方不是为本项目提供整体设计、规范编制或者项目管理、监理、检测等服务的供应商，我方不是采购代理机构的附属机构。</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（6）在领取中标通知书的同时按招标文件规定的形式，向采购代理机构一次性支付采购代理服务费（适用于中标人支付采购代理服务费情形）。</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（7）按照贵方可能要求，提供与其投标有关的一切数据或资料，完全理解贵方不一定接受最低价的投标或收到的任何投标。</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（8）按照招标文件的规定履行合同责任和义务。</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（9）我方承诺投标文件中的证明材料真实、合法、有效。</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其他事项：</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w:t>
      </w:r>
    </w:p>
    <w:p>
      <w:pPr>
        <w:tabs>
          <w:tab w:val="left" w:pos="10467"/>
        </w:tabs>
        <w:adjustRightInd w:val="0"/>
        <w:snapToGrid w:val="0"/>
        <w:spacing w:line="360" w:lineRule="auto"/>
        <w:ind w:right="1050" w:rightChars="500" w:firstLine="476" w:firstLineChars="227"/>
        <w:rPr>
          <w:rFonts w:ascii="仿宋_GB2312" w:hAnsi="仿宋_GB2312" w:eastAsia="仿宋_GB2312" w:cs="仿宋_GB2312"/>
          <w:szCs w:val="21"/>
        </w:rPr>
      </w:pPr>
    </w:p>
    <w:p>
      <w:pPr>
        <w:tabs>
          <w:tab w:val="left" w:pos="10467"/>
        </w:tabs>
        <w:adjustRightInd w:val="0"/>
        <w:snapToGrid w:val="0"/>
        <w:spacing w:line="360" w:lineRule="auto"/>
        <w:ind w:right="1050" w:rightChars="500" w:firstLine="476" w:firstLineChars="227"/>
        <w:rPr>
          <w:rFonts w:ascii="仿宋_GB2312" w:hAnsi="仿宋_GB2312" w:eastAsia="仿宋_GB2312" w:cs="仿宋_GB2312"/>
          <w:szCs w:val="21"/>
        </w:rPr>
      </w:pPr>
    </w:p>
    <w:p>
      <w:pPr>
        <w:tabs>
          <w:tab w:val="left" w:pos="10467"/>
        </w:tabs>
        <w:adjustRightInd w:val="0"/>
        <w:snapToGrid w:val="0"/>
        <w:spacing w:line="360" w:lineRule="auto"/>
        <w:ind w:right="1050" w:rightChars="500" w:firstLine="476" w:firstLineChars="227"/>
        <w:rPr>
          <w:rFonts w:ascii="仿宋_GB2312" w:hAnsi="仿宋_GB2312" w:eastAsia="仿宋_GB2312" w:cs="仿宋_GB2312"/>
          <w:szCs w:val="21"/>
        </w:rPr>
      </w:pP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与本项目有关的一切往来通讯请寄</w:t>
      </w:r>
    </w:p>
    <w:p>
      <w:pPr>
        <w:adjustRightInd w:val="0"/>
        <w:snapToGrid w:val="0"/>
        <w:spacing w:line="360" w:lineRule="auto"/>
        <w:ind w:right="-21" w:rightChars="-10"/>
        <w:rPr>
          <w:rFonts w:ascii="仿宋_GB2312" w:hAnsi="仿宋_GB2312" w:eastAsia="仿宋_GB2312" w:cs="仿宋_GB2312"/>
          <w:szCs w:val="21"/>
          <w:u w:val="single"/>
        </w:rPr>
      </w:pPr>
      <w:r>
        <w:rPr>
          <w:rFonts w:hint="eastAsia" w:ascii="仿宋_GB2312" w:hAnsi="仿宋_GB2312" w:eastAsia="仿宋_GB2312" w:cs="仿宋_GB2312"/>
          <w:szCs w:val="21"/>
        </w:rPr>
        <w:t>地址：</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传真：</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u w:val="single"/>
        </w:rPr>
      </w:pPr>
      <w:r>
        <w:rPr>
          <w:rFonts w:hint="eastAsia" w:ascii="仿宋_GB2312" w:hAnsi="仿宋_GB2312" w:eastAsia="仿宋_GB2312" w:cs="仿宋_GB2312"/>
          <w:szCs w:val="21"/>
        </w:rPr>
        <w:t>电话：</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电子邮件：</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u w:val="single"/>
        </w:rPr>
      </w:pPr>
      <w:r>
        <w:rPr>
          <w:rFonts w:hint="eastAsia" w:ascii="仿宋_GB2312" w:hAnsi="仿宋_GB2312" w:eastAsia="仿宋_GB2312" w:cs="仿宋_GB2312"/>
          <w:szCs w:val="21"/>
        </w:rPr>
        <w:t>法定代表人（非法人组织负责人）或其授权委托人（签字或盖章）：</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投标人名称（加盖单位公章）：</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投标人开户银行（全称）：</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投标人银行账号：</w:t>
      </w:r>
      <w:r>
        <w:rPr>
          <w:rFonts w:hint="eastAsia" w:ascii="仿宋_GB2312" w:hAnsi="仿宋_GB2312" w:eastAsia="仿宋_GB2312" w:cs="仿宋_GB2312"/>
          <w:szCs w:val="21"/>
          <w:u w:val="single"/>
        </w:rPr>
        <w:t xml:space="preserve">                      </w:t>
      </w:r>
    </w:p>
    <w:p>
      <w:pPr>
        <w:rPr>
          <w:rFonts w:ascii="仿宋_GB2312" w:hAnsi="仿宋_GB2312" w:eastAsia="仿宋_GB2312" w:cs="仿宋_GB2312"/>
          <w:szCs w:val="21"/>
          <w:u w:val="single"/>
        </w:rPr>
      </w:pPr>
      <w:r>
        <w:rPr>
          <w:rFonts w:hint="eastAsia" w:ascii="仿宋_GB2312" w:hAnsi="仿宋_GB2312" w:eastAsia="仿宋_GB2312" w:cs="仿宋_GB2312"/>
          <w:szCs w:val="21"/>
        </w:rPr>
        <w:t>日    期：</w:t>
      </w:r>
      <w:r>
        <w:rPr>
          <w:rFonts w:hint="eastAsia" w:ascii="仿宋_GB2312" w:hAnsi="仿宋_GB2312" w:eastAsia="仿宋_GB2312" w:cs="仿宋_GB2312"/>
          <w:szCs w:val="21"/>
          <w:u w:val="single"/>
        </w:rPr>
        <w:t xml:space="preserve">                            </w:t>
      </w:r>
    </w:p>
    <w:p>
      <w:pPr>
        <w:rPr>
          <w:rFonts w:ascii="仿宋_GB2312" w:hAnsi="仿宋_GB2312" w:eastAsia="仿宋_GB2312" w:cs="仿宋_GB2312"/>
          <w:szCs w:val="21"/>
          <w:u w:val="single"/>
        </w:rPr>
      </w:pPr>
      <w:r>
        <w:rPr>
          <w:rFonts w:ascii="仿宋_GB2312" w:hAnsi="仿宋_GB2312" w:eastAsia="仿宋_GB2312" w:cs="仿宋_GB2312"/>
          <w:szCs w:val="21"/>
          <w:u w:val="single"/>
        </w:rPr>
        <w:br w:type="page"/>
      </w:r>
    </w:p>
    <w:p>
      <w:pPr>
        <w:spacing w:before="319" w:beforeLines="100" w:after="319" w:afterLines="100" w:line="360" w:lineRule="auto"/>
        <w:ind w:right="-21" w:rightChars="-10"/>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投标函（适用电子投标）</w:t>
      </w:r>
    </w:p>
    <w:p>
      <w:pPr>
        <w:adjustRightInd w:val="0"/>
        <w:snapToGrid w:val="0"/>
        <w:spacing w:line="360" w:lineRule="auto"/>
        <w:ind w:right="630" w:rightChars="300"/>
        <w:rPr>
          <w:rFonts w:ascii="仿宋_GB2312" w:hAnsi="仿宋_GB2312" w:eastAsia="仿宋_GB2312" w:cs="仿宋_GB2312"/>
          <w:szCs w:val="21"/>
          <w:u w:val="single"/>
        </w:rPr>
      </w:pPr>
      <w:r>
        <w:rPr>
          <w:rFonts w:hint="eastAsia" w:ascii="仿宋_GB2312" w:hAnsi="仿宋_GB2312" w:eastAsia="仿宋_GB2312" w:cs="仿宋_GB2312"/>
          <w:szCs w:val="21"/>
          <w:u w:val="single"/>
        </w:rPr>
        <w:t>（采购人或采购代理机构）：</w:t>
      </w: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 xml:space="preserve">    根据贵方</w:t>
      </w:r>
      <w:r>
        <w:rPr>
          <w:rFonts w:hint="eastAsia" w:ascii="仿宋_GB2312" w:hAnsi="仿宋_GB2312" w:eastAsia="仿宋_GB2312" w:cs="仿宋_GB2312"/>
          <w:szCs w:val="21"/>
          <w:u w:val="single"/>
        </w:rPr>
        <w:t>(项目名称)</w:t>
      </w:r>
      <w:r>
        <w:rPr>
          <w:rFonts w:hint="eastAsia" w:ascii="仿宋_GB2312" w:hAnsi="仿宋_GB2312" w:eastAsia="仿宋_GB2312" w:cs="仿宋_GB2312"/>
          <w:szCs w:val="21"/>
        </w:rPr>
        <w:t>项目的招标公告</w:t>
      </w:r>
      <w:r>
        <w:rPr>
          <w:rFonts w:hint="eastAsia" w:ascii="仿宋_GB2312" w:hAnsi="仿宋_GB2312" w:eastAsia="仿宋_GB2312" w:cs="仿宋_GB2312"/>
          <w:szCs w:val="21"/>
          <w:u w:val="single"/>
        </w:rPr>
        <w:t>(招标编号)</w:t>
      </w:r>
      <w:r>
        <w:rPr>
          <w:rFonts w:hint="eastAsia" w:ascii="仿宋_GB2312" w:hAnsi="仿宋_GB2312" w:eastAsia="仿宋_GB2312" w:cs="仿宋_GB2312"/>
          <w:szCs w:val="21"/>
        </w:rPr>
        <w:t>,签字代表</w:t>
      </w:r>
      <w:r>
        <w:rPr>
          <w:rFonts w:hint="eastAsia" w:ascii="仿宋_GB2312" w:hAnsi="仿宋_GB2312" w:eastAsia="仿宋_GB2312" w:cs="仿宋_GB2312"/>
          <w:szCs w:val="21"/>
          <w:u w:val="single"/>
        </w:rPr>
        <w:t>(姓名、职务)</w:t>
      </w:r>
      <w:r>
        <w:rPr>
          <w:rFonts w:hint="eastAsia" w:ascii="仿宋_GB2312" w:hAnsi="仿宋_GB2312" w:eastAsia="仿宋_GB2312" w:cs="仿宋_GB2312"/>
          <w:szCs w:val="21"/>
        </w:rPr>
        <w:t>经正式授权并代表投标人</w:t>
      </w:r>
      <w:r>
        <w:rPr>
          <w:rFonts w:hint="eastAsia" w:ascii="仿宋_GB2312" w:hAnsi="仿宋_GB2312" w:eastAsia="仿宋_GB2312" w:cs="仿宋_GB2312"/>
          <w:szCs w:val="21"/>
          <w:u w:val="single"/>
        </w:rPr>
        <w:t>（名称、地址）</w:t>
      </w:r>
      <w:r>
        <w:rPr>
          <w:rFonts w:hint="eastAsia" w:ascii="仿宋_GB2312" w:hAnsi="仿宋_GB2312" w:eastAsia="仿宋_GB2312" w:cs="仿宋_GB2312"/>
          <w:szCs w:val="21"/>
        </w:rPr>
        <w:t>提交电子版投标文件1份，并以</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形式出具的金额为</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人民币元的投标保证金。</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据此，签字代表宣布同意如下：</w:t>
      </w:r>
    </w:p>
    <w:p>
      <w:pPr>
        <w:adjustRightInd w:val="0"/>
        <w:snapToGrid w:val="0"/>
        <w:spacing w:line="360" w:lineRule="auto"/>
        <w:ind w:left="420" w:right="-21" w:rightChars="-10"/>
        <w:rPr>
          <w:rFonts w:ascii="仿宋_GB2312" w:hAnsi="仿宋_GB2312" w:eastAsia="仿宋_GB2312" w:cs="仿宋_GB2312"/>
          <w:szCs w:val="21"/>
        </w:rPr>
      </w:pPr>
      <w:r>
        <w:rPr>
          <w:rFonts w:hint="eastAsia" w:ascii="仿宋_GB2312" w:hAnsi="仿宋_GB2312" w:eastAsia="仿宋_GB2312" w:cs="仿宋_GB2312"/>
          <w:szCs w:val="21"/>
        </w:rPr>
        <w:t>（1）本项目投标总价详见开标一览表。</w:t>
      </w:r>
    </w:p>
    <w:p>
      <w:pPr>
        <w:adjustRightInd w:val="0"/>
        <w:snapToGrid w:val="0"/>
        <w:spacing w:line="360" w:lineRule="auto"/>
        <w:ind w:left="420" w:right="-21" w:rightChars="-10"/>
        <w:rPr>
          <w:rFonts w:ascii="仿宋_GB2312" w:hAnsi="仿宋_GB2312" w:eastAsia="仿宋_GB2312" w:cs="仿宋_GB2312"/>
          <w:szCs w:val="21"/>
        </w:rPr>
      </w:pPr>
      <w:r>
        <w:rPr>
          <w:rFonts w:hint="eastAsia" w:ascii="仿宋_GB2312" w:hAnsi="仿宋_GB2312" w:eastAsia="仿宋_GB2312" w:cs="仿宋_GB2312"/>
          <w:szCs w:val="21"/>
        </w:rPr>
        <w:t>（2）本投标有效期为自递交投标文件截止之日起</w:t>
      </w:r>
      <w:r>
        <w:rPr>
          <w:rFonts w:hint="eastAsia" w:ascii="仿宋_GB2312" w:hAnsi="仿宋_GB2312" w:eastAsia="仿宋_GB2312" w:cs="仿宋_GB2312"/>
          <w:szCs w:val="21"/>
          <w:u w:val="single"/>
        </w:rPr>
        <w:t>90</w:t>
      </w:r>
      <w:r>
        <w:rPr>
          <w:rFonts w:hint="eastAsia" w:ascii="仿宋_GB2312" w:hAnsi="仿宋_GB2312" w:eastAsia="仿宋_GB2312" w:cs="仿宋_GB2312"/>
          <w:szCs w:val="21"/>
        </w:rPr>
        <w:t>日历日。</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（3）已详细审查全部招标文件，包括所有补充通知（如果有的话）。</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（4）在规定的开标时间后，遵守招标文件中有关保证金的规定。</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（5）我方不是为本项目提供整体设计、规范编制或者项目管理、监理、检测等服务的供应商，我方不是采购代理机构的附属机构。</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（6）在领取中标通知书的同时按招标文件规定的形式，向采购代理机构一次性支付采购代理服务费（适用于中标人支付采购代理服务费情形）。</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（7）按照贵方可能要求，提供与其投标有关的一切数据或资料，完全理解贵方不一定接受最低价的投标或收到的任何投标。</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（8）按照招标文件的规定履行合同责任和义务。</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（9）我方承诺投标文件中的证明材料真实、合法、有效。</w:t>
      </w:r>
    </w:p>
    <w:p>
      <w:pPr>
        <w:adjustRightInd w:val="0"/>
        <w:snapToGrid w:val="0"/>
        <w:spacing w:line="360" w:lineRule="auto"/>
        <w:ind w:right="-21" w:rightChars="-10" w:firstLine="420" w:firstLineChars="200"/>
        <w:rPr>
          <w:rFonts w:ascii="仿宋_GB2312" w:hAnsi="仿宋_GB2312" w:eastAsia="仿宋_GB2312" w:cs="仿宋_GB2312"/>
          <w:szCs w:val="21"/>
        </w:rPr>
      </w:pPr>
      <w:r>
        <w:rPr>
          <w:rFonts w:hint="eastAsia" w:ascii="仿宋_GB2312" w:hAnsi="仿宋_GB2312" w:eastAsia="仿宋_GB2312" w:cs="仿宋_GB2312"/>
          <w:szCs w:val="21"/>
        </w:rPr>
        <w:t>其他事项：</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w:t>
      </w:r>
    </w:p>
    <w:p>
      <w:pPr>
        <w:tabs>
          <w:tab w:val="left" w:pos="10467"/>
        </w:tabs>
        <w:adjustRightInd w:val="0"/>
        <w:snapToGrid w:val="0"/>
        <w:spacing w:line="360" w:lineRule="auto"/>
        <w:ind w:right="1050" w:rightChars="500" w:firstLine="476" w:firstLineChars="227"/>
        <w:rPr>
          <w:rFonts w:ascii="仿宋_GB2312" w:hAnsi="仿宋_GB2312" w:eastAsia="仿宋_GB2312" w:cs="仿宋_GB2312"/>
          <w:szCs w:val="21"/>
        </w:rPr>
      </w:pPr>
    </w:p>
    <w:p>
      <w:pPr>
        <w:tabs>
          <w:tab w:val="left" w:pos="10467"/>
        </w:tabs>
        <w:adjustRightInd w:val="0"/>
        <w:snapToGrid w:val="0"/>
        <w:spacing w:line="360" w:lineRule="auto"/>
        <w:ind w:right="1050" w:rightChars="500" w:firstLine="476" w:firstLineChars="227"/>
        <w:rPr>
          <w:rFonts w:ascii="仿宋_GB2312" w:hAnsi="仿宋_GB2312" w:eastAsia="仿宋_GB2312" w:cs="仿宋_GB2312"/>
          <w:szCs w:val="21"/>
        </w:rPr>
      </w:pPr>
    </w:p>
    <w:p>
      <w:pPr>
        <w:tabs>
          <w:tab w:val="left" w:pos="10467"/>
        </w:tabs>
        <w:adjustRightInd w:val="0"/>
        <w:snapToGrid w:val="0"/>
        <w:spacing w:line="360" w:lineRule="auto"/>
        <w:ind w:right="1050" w:rightChars="500" w:firstLine="476" w:firstLineChars="227"/>
        <w:rPr>
          <w:rFonts w:ascii="仿宋_GB2312" w:hAnsi="仿宋_GB2312" w:eastAsia="仿宋_GB2312" w:cs="仿宋_GB2312"/>
          <w:szCs w:val="21"/>
        </w:rPr>
      </w:pP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与本项目有关的一切往来通讯请寄</w:t>
      </w:r>
    </w:p>
    <w:p>
      <w:pPr>
        <w:adjustRightInd w:val="0"/>
        <w:snapToGrid w:val="0"/>
        <w:spacing w:line="360" w:lineRule="auto"/>
        <w:ind w:right="-21" w:rightChars="-10"/>
        <w:rPr>
          <w:rFonts w:ascii="仿宋_GB2312" w:hAnsi="仿宋_GB2312" w:eastAsia="仿宋_GB2312" w:cs="仿宋_GB2312"/>
          <w:szCs w:val="21"/>
          <w:u w:val="single"/>
        </w:rPr>
      </w:pPr>
      <w:r>
        <w:rPr>
          <w:rFonts w:hint="eastAsia" w:ascii="仿宋_GB2312" w:hAnsi="仿宋_GB2312" w:eastAsia="仿宋_GB2312" w:cs="仿宋_GB2312"/>
          <w:szCs w:val="21"/>
        </w:rPr>
        <w:t>地址：</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传真：</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u w:val="single"/>
        </w:rPr>
      </w:pPr>
      <w:r>
        <w:rPr>
          <w:rFonts w:hint="eastAsia" w:ascii="仿宋_GB2312" w:hAnsi="仿宋_GB2312" w:eastAsia="仿宋_GB2312" w:cs="仿宋_GB2312"/>
          <w:szCs w:val="21"/>
        </w:rPr>
        <w:t>电话：</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 xml:space="preserve">         电子邮件：</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u w:val="single"/>
        </w:rPr>
      </w:pPr>
      <w:r>
        <w:rPr>
          <w:rFonts w:hint="eastAsia" w:ascii="仿宋_GB2312" w:hAnsi="仿宋_GB2312" w:eastAsia="仿宋_GB2312" w:cs="仿宋_GB2312"/>
          <w:szCs w:val="21"/>
        </w:rPr>
        <w:t>法定代表人（非法人组织负责人）或其授权委托人（签字或盖章）：</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投标人名称（加盖单位公章）：</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投标人开户银行（全称）：</w:t>
      </w:r>
      <w:r>
        <w:rPr>
          <w:rFonts w:hint="eastAsia" w:ascii="仿宋_GB2312" w:hAnsi="仿宋_GB2312" w:eastAsia="仿宋_GB2312" w:cs="仿宋_GB2312"/>
          <w:szCs w:val="21"/>
          <w:u w:val="single"/>
        </w:rPr>
        <w:t xml:space="preserve">              </w:t>
      </w:r>
    </w:p>
    <w:p>
      <w:pPr>
        <w:adjustRightInd w:val="0"/>
        <w:snapToGrid w:val="0"/>
        <w:spacing w:line="360" w:lineRule="auto"/>
        <w:ind w:right="-21" w:rightChars="-10"/>
        <w:rPr>
          <w:rFonts w:ascii="仿宋_GB2312" w:hAnsi="仿宋_GB2312" w:eastAsia="仿宋_GB2312" w:cs="仿宋_GB2312"/>
          <w:szCs w:val="21"/>
        </w:rPr>
      </w:pPr>
      <w:r>
        <w:rPr>
          <w:rFonts w:hint="eastAsia" w:ascii="仿宋_GB2312" w:hAnsi="仿宋_GB2312" w:eastAsia="仿宋_GB2312" w:cs="仿宋_GB2312"/>
          <w:szCs w:val="21"/>
        </w:rPr>
        <w:t>投标人银行账号：</w:t>
      </w:r>
      <w:r>
        <w:rPr>
          <w:rFonts w:hint="eastAsia" w:ascii="仿宋_GB2312" w:hAnsi="仿宋_GB2312" w:eastAsia="仿宋_GB2312" w:cs="仿宋_GB2312"/>
          <w:szCs w:val="21"/>
          <w:u w:val="single"/>
        </w:rPr>
        <w:t xml:space="preserve">                      </w:t>
      </w:r>
    </w:p>
    <w:p>
      <w:r>
        <w:rPr>
          <w:rFonts w:hint="eastAsia" w:ascii="仿宋_GB2312" w:hAnsi="仿宋_GB2312" w:eastAsia="仿宋_GB2312" w:cs="仿宋_GB2312"/>
          <w:szCs w:val="21"/>
        </w:rPr>
        <w:t>日    期：</w:t>
      </w:r>
      <w:r>
        <w:rPr>
          <w:rFonts w:hint="eastAsia" w:ascii="仿宋_GB2312" w:hAnsi="仿宋_GB2312" w:eastAsia="仿宋_GB2312" w:cs="仿宋_GB2312"/>
          <w:szCs w:val="21"/>
          <w:u w:val="single"/>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十四、开标一览表(投标总价)</w:t>
      </w:r>
    </w:p>
    <w:p>
      <w:pPr>
        <w:adjustRightInd w:val="0"/>
        <w:snapToGrid w:val="0"/>
        <w:spacing w:before="319" w:beforeLines="100" w:after="319" w:afterLines="100" w:line="360" w:lineRule="auto"/>
        <w:ind w:right="105" w:rightChars="50"/>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开标一览表</w:t>
      </w:r>
    </w:p>
    <w:p>
      <w:pPr>
        <w:adjustRightInd w:val="0"/>
        <w:snapToGrid w:val="0"/>
        <w:spacing w:line="360" w:lineRule="auto"/>
        <w:ind w:right="105" w:rightChars="50"/>
        <w:jc w:val="left"/>
        <w:rPr>
          <w:rFonts w:ascii="仿宋_GB2312" w:hAnsi="仿宋_GB2312" w:eastAsia="仿宋_GB2312" w:cs="仿宋_GB2312"/>
          <w:b/>
          <w:bCs/>
          <w:szCs w:val="21"/>
        </w:rPr>
      </w:pPr>
      <w:r>
        <w:rPr>
          <w:rFonts w:hint="eastAsia" w:ascii="仿宋_GB2312" w:hAnsi="仿宋_GB2312" w:eastAsia="仿宋_GB2312" w:cs="仿宋_GB2312"/>
          <w:b/>
          <w:bCs/>
          <w:szCs w:val="21"/>
        </w:rPr>
        <w:t>包号：                                                  报价单位：元（人民币）</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2"/>
        <w:gridCol w:w="1585"/>
        <w:gridCol w:w="1610"/>
        <w:gridCol w:w="1165"/>
        <w:gridCol w:w="1022"/>
        <w:gridCol w:w="1045"/>
        <w:gridCol w:w="7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786" w:type="pct"/>
            <w:noWrap/>
            <w:vAlign w:val="center"/>
          </w:tcPr>
          <w:p>
            <w:pPr>
              <w:widowControl w:val="0"/>
              <w:adjustRightInd w:val="0"/>
              <w:snapToGrid w:val="0"/>
              <w:ind w:left="-54" w:leftChars="-26" w:right="-46" w:rightChars="-22"/>
              <w:jc w:val="center"/>
              <w:rPr>
                <w:rFonts w:ascii="仿宋_GB2312" w:hAnsi="仿宋_GB2312" w:eastAsia="仿宋_GB2312" w:cs="仿宋_GB2312"/>
                <w:kern w:val="2"/>
                <w:sz w:val="21"/>
                <w:szCs w:val="21"/>
                <w:lang w:val="en-US" w:eastAsia="zh-CN" w:bidi="ar-SA"/>
              </w:rPr>
            </w:pPr>
            <w:bookmarkStart w:id="67" w:name="_GoBack_0"/>
            <w:r>
              <w:rPr>
                <w:rFonts w:hint="eastAsia" w:ascii="仿宋_GB2312" w:hAnsi="仿宋_GB2312" w:eastAsia="仿宋_GB2312" w:cs="仿宋_GB2312"/>
                <w:kern w:val="2"/>
                <w:sz w:val="21"/>
                <w:szCs w:val="21"/>
                <w:lang w:val="en-US" w:eastAsia="zh-CN" w:bidi="ar-SA"/>
              </w:rPr>
              <w:t>服务名称</w:t>
            </w:r>
          </w:p>
        </w:tc>
        <w:tc>
          <w:tcPr>
            <w:tcW w:w="901" w:type="pct"/>
            <w:noWrap/>
            <w:vAlign w:val="center"/>
          </w:tcPr>
          <w:p>
            <w:pPr>
              <w:widowControl w:val="0"/>
              <w:adjustRightInd w:val="0"/>
              <w:snapToGrid w:val="0"/>
              <w:ind w:left="-54" w:leftChars="-26" w:right="-46" w:rightChars="-22"/>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投标总价(小写)</w:t>
            </w:r>
          </w:p>
        </w:tc>
        <w:tc>
          <w:tcPr>
            <w:tcW w:w="967" w:type="pct"/>
            <w:noWrap w:val="0"/>
            <w:vAlign w:val="center"/>
          </w:tcPr>
          <w:p>
            <w:pPr>
              <w:widowControl w:val="0"/>
              <w:adjustRightInd w:val="0"/>
              <w:snapToGrid w:val="0"/>
              <w:ind w:left="-54" w:leftChars="-26" w:right="-46" w:rightChars="-22"/>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投标总价(大写)</w:t>
            </w:r>
          </w:p>
        </w:tc>
        <w:tc>
          <w:tcPr>
            <w:tcW w:w="664" w:type="pct"/>
            <w:noWrap/>
            <w:vAlign w:val="center"/>
          </w:tcPr>
          <w:p>
            <w:pPr>
              <w:widowControl w:val="0"/>
              <w:adjustRightInd w:val="0"/>
              <w:snapToGrid w:val="0"/>
              <w:ind w:left="-54" w:leftChars="-26" w:right="-46" w:rightChars="-22"/>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投标保证金</w:t>
            </w:r>
          </w:p>
        </w:tc>
        <w:tc>
          <w:tcPr>
            <w:tcW w:w="563" w:type="pct"/>
            <w:noWrap/>
            <w:vAlign w:val="center"/>
          </w:tcPr>
          <w:p>
            <w:pPr>
              <w:widowControl w:val="0"/>
              <w:adjustRightInd w:val="0"/>
              <w:snapToGrid w:val="0"/>
              <w:ind w:right="-33" w:rightChars="-16"/>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服务时间</w:t>
            </w:r>
          </w:p>
        </w:tc>
        <w:tc>
          <w:tcPr>
            <w:tcW w:w="635" w:type="pct"/>
            <w:noWrap/>
            <w:vAlign w:val="center"/>
          </w:tcPr>
          <w:p>
            <w:pPr>
              <w:widowControl w:val="0"/>
              <w:adjustRightInd w:val="0"/>
              <w:snapToGrid w:val="0"/>
              <w:ind w:right="-42" w:rightChars="-2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服务地点</w:t>
            </w:r>
          </w:p>
        </w:tc>
        <w:tc>
          <w:tcPr>
            <w:tcW w:w="483" w:type="pct"/>
            <w:noWrap/>
            <w:vAlign w:val="center"/>
          </w:tcPr>
          <w:p>
            <w:pPr>
              <w:widowControl w:val="0"/>
              <w:adjustRightInd w:val="0"/>
              <w:snapToGrid w:val="0"/>
              <w:ind w:left="-54" w:leftChars="-26" w:right="-46" w:rightChars="-22"/>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3" w:hRule="atLeast"/>
          <w:jc w:val="center"/>
        </w:trPr>
        <w:tc>
          <w:tcPr>
            <w:tcW w:w="786" w:type="pct"/>
            <w:noWrap/>
            <w:vAlign w:val="center"/>
          </w:tcPr>
          <w:p>
            <w:pPr>
              <w:widowControl w:val="0"/>
              <w:adjustRightInd w:val="0"/>
              <w:snapToGrid w:val="0"/>
              <w:ind w:left="-54" w:leftChars="-26" w:right="-46" w:rightChars="-22"/>
              <w:jc w:val="center"/>
              <w:rPr>
                <w:rFonts w:ascii="仿宋_GB2312" w:hAnsi="仿宋_GB2312" w:eastAsia="仿宋_GB2312" w:cs="仿宋_GB2312"/>
                <w:kern w:val="2"/>
                <w:sz w:val="21"/>
                <w:szCs w:val="21"/>
                <w:lang w:val="en-US" w:eastAsia="zh-CN" w:bidi="ar-SA"/>
              </w:rPr>
            </w:pPr>
          </w:p>
        </w:tc>
        <w:tc>
          <w:tcPr>
            <w:tcW w:w="901" w:type="pct"/>
            <w:noWrap/>
            <w:vAlign w:val="center"/>
          </w:tcPr>
          <w:p>
            <w:pPr>
              <w:widowControl w:val="0"/>
              <w:adjustRightInd w:val="0"/>
              <w:snapToGrid w:val="0"/>
              <w:ind w:left="-54" w:leftChars="-26" w:right="-46" w:rightChars="-22"/>
              <w:jc w:val="left"/>
              <w:rPr>
                <w:rFonts w:ascii="仿宋_GB2312" w:hAnsi="仿宋_GB2312" w:eastAsia="仿宋_GB2312" w:cs="仿宋_GB2312"/>
                <w:kern w:val="2"/>
                <w:sz w:val="21"/>
                <w:szCs w:val="21"/>
                <w:lang w:val="en-US" w:eastAsia="zh-CN" w:bidi="ar-SA"/>
              </w:rPr>
            </w:pPr>
          </w:p>
        </w:tc>
        <w:tc>
          <w:tcPr>
            <w:tcW w:w="967" w:type="pct"/>
            <w:noWrap w:val="0"/>
            <w:vAlign w:val="center"/>
          </w:tcPr>
          <w:p>
            <w:pPr>
              <w:widowControl w:val="0"/>
              <w:adjustRightInd w:val="0"/>
              <w:snapToGrid w:val="0"/>
              <w:ind w:left="-54" w:leftChars="-26" w:right="-46" w:rightChars="-22"/>
              <w:jc w:val="left"/>
              <w:rPr>
                <w:rFonts w:ascii="仿宋_GB2312" w:hAnsi="仿宋_GB2312" w:eastAsia="仿宋_GB2312" w:cs="仿宋_GB2312"/>
                <w:kern w:val="2"/>
                <w:sz w:val="21"/>
                <w:szCs w:val="21"/>
                <w:lang w:val="en-US" w:eastAsia="zh-CN" w:bidi="ar-SA"/>
              </w:rPr>
            </w:pPr>
          </w:p>
        </w:tc>
        <w:tc>
          <w:tcPr>
            <w:tcW w:w="664" w:type="pct"/>
            <w:noWrap/>
            <w:vAlign w:val="center"/>
          </w:tcPr>
          <w:p>
            <w:pPr>
              <w:widowControl w:val="0"/>
              <w:adjustRightInd w:val="0"/>
              <w:snapToGrid w:val="0"/>
              <w:ind w:left="-54" w:leftChars="-26" w:right="-46" w:rightChars="-22"/>
              <w:jc w:val="center"/>
              <w:rPr>
                <w:rFonts w:ascii="仿宋_GB2312" w:hAnsi="仿宋_GB2312" w:eastAsia="仿宋_GB2312" w:cs="仿宋_GB2312"/>
                <w:kern w:val="2"/>
                <w:sz w:val="21"/>
                <w:szCs w:val="21"/>
                <w:lang w:val="en-US" w:eastAsia="zh-CN" w:bidi="ar-SA"/>
              </w:rPr>
            </w:pPr>
          </w:p>
        </w:tc>
        <w:tc>
          <w:tcPr>
            <w:tcW w:w="563" w:type="pct"/>
            <w:noWrap/>
            <w:vAlign w:val="center"/>
          </w:tcPr>
          <w:p>
            <w:pPr>
              <w:widowControl w:val="0"/>
              <w:adjustRightInd w:val="0"/>
              <w:snapToGrid w:val="0"/>
              <w:ind w:left="-54" w:leftChars="-26" w:right="-46" w:rightChars="-22"/>
              <w:jc w:val="center"/>
              <w:rPr>
                <w:rFonts w:ascii="仿宋_GB2312" w:hAnsi="仿宋_GB2312" w:eastAsia="仿宋_GB2312" w:cs="仿宋_GB2312"/>
                <w:kern w:val="2"/>
                <w:sz w:val="21"/>
                <w:szCs w:val="21"/>
                <w:lang w:val="en-US" w:eastAsia="zh-CN" w:bidi="ar-SA"/>
              </w:rPr>
            </w:pPr>
          </w:p>
        </w:tc>
        <w:tc>
          <w:tcPr>
            <w:tcW w:w="635" w:type="pct"/>
            <w:noWrap/>
            <w:vAlign w:val="center"/>
          </w:tcPr>
          <w:p>
            <w:pPr>
              <w:widowControl w:val="0"/>
              <w:adjustRightInd w:val="0"/>
              <w:snapToGrid w:val="0"/>
              <w:ind w:left="-54" w:leftChars="-26" w:right="-46" w:rightChars="-22"/>
              <w:jc w:val="center"/>
              <w:rPr>
                <w:rFonts w:ascii="仿宋_GB2312" w:hAnsi="仿宋_GB2312" w:eastAsia="仿宋_GB2312" w:cs="仿宋_GB2312"/>
                <w:kern w:val="2"/>
                <w:sz w:val="21"/>
                <w:szCs w:val="21"/>
                <w:lang w:val="en-US" w:eastAsia="zh-CN" w:bidi="ar-SA"/>
              </w:rPr>
            </w:pPr>
          </w:p>
        </w:tc>
        <w:tc>
          <w:tcPr>
            <w:tcW w:w="483" w:type="pct"/>
            <w:noWrap/>
            <w:vAlign w:val="center"/>
          </w:tcPr>
          <w:p>
            <w:pPr>
              <w:widowControl w:val="0"/>
              <w:adjustRightInd w:val="0"/>
              <w:snapToGrid w:val="0"/>
              <w:ind w:left="-54" w:leftChars="-26" w:right="-46" w:rightChars="-22"/>
              <w:jc w:val="center"/>
              <w:rPr>
                <w:rFonts w:ascii="仿宋_GB2312" w:hAnsi="仿宋_GB2312" w:eastAsia="仿宋_GB2312" w:cs="仿宋_GB2312"/>
                <w:kern w:val="2"/>
                <w:sz w:val="21"/>
                <w:szCs w:val="21"/>
                <w:lang w:val="en-US" w:eastAsia="zh-CN" w:bidi="ar-SA"/>
              </w:rPr>
            </w:pPr>
          </w:p>
        </w:tc>
      </w:tr>
      <w:bookmarkEnd w:id="67"/>
    </w:tbl>
    <w:p>
      <w:pPr>
        <w:adjustRightInd w:val="0"/>
        <w:snapToGrid w:val="0"/>
        <w:spacing w:line="360" w:lineRule="auto"/>
        <w:ind w:right="105" w:rightChars="50" w:firstLine="420" w:firstLineChars="200"/>
        <w:jc w:val="left"/>
        <w:rPr>
          <w:rFonts w:ascii="仿宋_GB2312" w:hAnsi="仿宋_GB2312" w:eastAsia="仿宋_GB2312" w:cs="仿宋_GB2312"/>
          <w:szCs w:val="21"/>
        </w:rPr>
      </w:pPr>
    </w:p>
    <w:p>
      <w:pPr>
        <w:adjustRightInd w:val="0"/>
        <w:snapToGrid w:val="0"/>
        <w:spacing w:line="360" w:lineRule="auto"/>
        <w:ind w:right="105" w:rightChars="50"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注：1.此表中，投标总价应和分项报价表的总价相一致。</w:t>
      </w:r>
    </w:p>
    <w:p>
      <w:pPr>
        <w:adjustRightInd w:val="0"/>
        <w:snapToGrid w:val="0"/>
        <w:spacing w:line="360" w:lineRule="auto"/>
        <w:ind w:right="105" w:rightChars="50"/>
        <w:jc w:val="left"/>
        <w:rPr>
          <w:rFonts w:ascii="仿宋_GB2312" w:hAnsi="仿宋_GB2312" w:eastAsia="仿宋_GB2312" w:cs="仿宋_GB2312"/>
          <w:szCs w:val="21"/>
        </w:rPr>
      </w:pPr>
      <w:r>
        <w:rPr>
          <w:rFonts w:hint="eastAsia" w:ascii="仿宋_GB2312" w:hAnsi="仿宋_GB2312" w:eastAsia="仿宋_GB2312" w:cs="仿宋_GB2312"/>
          <w:szCs w:val="21"/>
        </w:rPr>
        <w:t xml:space="preserve">        2.本表除在投标文件中装订外，还须用小信封单独密封、标记，在递交投标文件的同时递交一份，以供唱标之用。（纸质标适用）</w:t>
      </w: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投标人名称（加盖单位公章）：</w:t>
      </w:r>
    </w:p>
    <w:p>
      <w:pPr>
        <w:adjustRightInd w:val="0"/>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szCs w:val="24"/>
        </w:rPr>
        <w:t>其</w:t>
      </w:r>
      <w:r>
        <w:rPr>
          <w:rFonts w:hint="eastAsia" w:ascii="仿宋_GB2312" w:hAnsi="仿宋_GB2312" w:eastAsia="仿宋_GB2312" w:cs="仿宋_GB2312"/>
          <w:szCs w:val="21"/>
        </w:rPr>
        <w:t>授权委托人</w:t>
      </w:r>
      <w:r>
        <w:rPr>
          <w:rFonts w:hint="eastAsia" w:ascii="仿宋_GB2312" w:hAnsi="仿宋_GB2312" w:eastAsia="仿宋_GB2312" w:cs="仿宋_GB2312"/>
          <w:szCs w:val="24"/>
        </w:rPr>
        <w:t>(签字或盖章)：</w:t>
      </w:r>
    </w:p>
    <w:p>
      <w:pPr>
        <w:rPr>
          <w:rFonts w:eastAsia="仿宋" w:cs="Calibri"/>
          <w:szCs w:val="24"/>
        </w:rPr>
      </w:pPr>
      <w:r>
        <w:rPr>
          <w:rFonts w:hint="eastAsia" w:ascii="仿宋_GB2312" w:hAnsi="仿宋_GB2312" w:eastAsia="仿宋_GB2312" w:cs="仿宋_GB2312"/>
          <w:szCs w:val="24"/>
        </w:rPr>
        <w:t>日期：</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十五、服务价格明细表</w:t>
      </w:r>
    </w:p>
    <w:p>
      <w:pPr>
        <w:adjustRightInd w:val="0"/>
        <w:snapToGrid w:val="0"/>
        <w:spacing w:before="319" w:beforeLines="100" w:after="319" w:afterLines="100" w:line="360" w:lineRule="auto"/>
        <w:ind w:right="105" w:rightChars="50"/>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服务价格明细表</w:t>
      </w:r>
    </w:p>
    <w:p>
      <w:pPr>
        <w:adjustRightInd w:val="0"/>
        <w:snapToGrid w:val="0"/>
        <w:spacing w:line="360" w:lineRule="auto"/>
        <w:ind w:right="105" w:rightChars="50"/>
        <w:jc w:val="left"/>
        <w:rPr>
          <w:rFonts w:ascii="仿宋_GB2312" w:hAnsi="仿宋_GB2312" w:eastAsia="仿宋_GB2312" w:cs="仿宋_GB2312"/>
          <w:b/>
          <w:bCs/>
          <w:szCs w:val="21"/>
        </w:rPr>
      </w:pPr>
      <w:r>
        <w:rPr>
          <w:rFonts w:hint="eastAsia" w:ascii="仿宋_GB2312" w:hAnsi="仿宋_GB2312" w:eastAsia="仿宋_GB2312" w:cs="仿宋_GB2312"/>
          <w:b/>
          <w:bCs/>
          <w:szCs w:val="21"/>
        </w:rPr>
        <w:t>包号：                                               报价单位：元（人民币）</w:t>
      </w:r>
    </w:p>
    <w:tbl>
      <w:tblPr>
        <w:tblStyle w:val="20"/>
        <w:tblW w:w="8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1"/>
        <w:gridCol w:w="3078"/>
        <w:gridCol w:w="1228"/>
        <w:gridCol w:w="1238"/>
        <w:gridCol w:w="14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011" w:type="dxa"/>
            <w:noWrap w:val="0"/>
            <w:vAlign w:val="center"/>
          </w:tcPr>
          <w:p>
            <w:pPr>
              <w:adjustRightInd w:val="0"/>
              <w:snapToGrid w:val="0"/>
              <w:ind w:left="-65" w:leftChars="-31"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序号</w:t>
            </w:r>
          </w:p>
        </w:tc>
        <w:tc>
          <w:tcPr>
            <w:tcW w:w="3078" w:type="dxa"/>
            <w:noWrap w:val="0"/>
            <w:vAlign w:val="center"/>
          </w:tcPr>
          <w:p>
            <w:pPr>
              <w:adjustRightInd w:val="0"/>
              <w:snapToGrid w:val="0"/>
              <w:ind w:left="-65" w:leftChars="-31"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服务名称</w:t>
            </w:r>
          </w:p>
        </w:tc>
        <w:tc>
          <w:tcPr>
            <w:tcW w:w="1228" w:type="dxa"/>
            <w:noWrap w:val="0"/>
            <w:vAlign w:val="center"/>
          </w:tcPr>
          <w:p>
            <w:pPr>
              <w:adjustRightInd w:val="0"/>
              <w:snapToGrid w:val="0"/>
              <w:ind w:left="-65" w:leftChars="-31"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单价</w:t>
            </w:r>
          </w:p>
        </w:tc>
        <w:tc>
          <w:tcPr>
            <w:tcW w:w="1238" w:type="dxa"/>
            <w:noWrap w:val="0"/>
            <w:vAlign w:val="center"/>
          </w:tcPr>
          <w:p>
            <w:pPr>
              <w:adjustRightInd w:val="0"/>
              <w:snapToGrid w:val="0"/>
              <w:ind w:left="-65" w:leftChars="-31"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总价</w:t>
            </w:r>
          </w:p>
        </w:tc>
        <w:tc>
          <w:tcPr>
            <w:tcW w:w="1457" w:type="dxa"/>
            <w:noWrap w:val="0"/>
            <w:vAlign w:val="center"/>
          </w:tcPr>
          <w:p>
            <w:pPr>
              <w:adjustRightInd w:val="0"/>
              <w:snapToGrid w:val="0"/>
              <w:ind w:left="-65" w:leftChars="-31" w:right="-46" w:rightChars="-22"/>
              <w:jc w:val="center"/>
              <w:rPr>
                <w:rFonts w:ascii="仿宋_GB2312" w:hAnsi="仿宋_GB2312" w:eastAsia="仿宋_GB2312" w:cs="仿宋_GB2312"/>
                <w:szCs w:val="21"/>
              </w:rPr>
            </w:pPr>
            <w:r>
              <w:rPr>
                <w:rFonts w:hint="eastAsia" w:ascii="仿宋_GB2312" w:hAnsi="仿宋_GB2312" w:eastAsia="仿宋_GB2312" w:cs="仿宋_GB2312"/>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011"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07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2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3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457"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011"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07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2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3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457"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011"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07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2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3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457"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011"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07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2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3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457"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011"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07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2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3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457"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011"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07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2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3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457"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 w:hRule="atLeast"/>
          <w:jc w:val="center"/>
        </w:trPr>
        <w:tc>
          <w:tcPr>
            <w:tcW w:w="1011"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07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2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3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457"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4089" w:type="dxa"/>
            <w:gridSpan w:val="2"/>
            <w:noWrap w:val="0"/>
            <w:vAlign w:val="center"/>
          </w:tcPr>
          <w:p>
            <w:pPr>
              <w:adjustRightInd w:val="0"/>
              <w:snapToGrid w:val="0"/>
              <w:ind w:right="105" w:rightChars="50"/>
              <w:jc w:val="center"/>
              <w:rPr>
                <w:rFonts w:ascii="仿宋_GB2312" w:hAnsi="仿宋_GB2312" w:eastAsia="仿宋_GB2312" w:cs="仿宋_GB2312"/>
                <w:szCs w:val="21"/>
              </w:rPr>
            </w:pPr>
            <w:r>
              <w:rPr>
                <w:rFonts w:hint="eastAsia" w:ascii="仿宋_GB2312" w:hAnsi="仿宋_GB2312" w:eastAsia="仿宋_GB2312" w:cs="仿宋_GB2312"/>
                <w:szCs w:val="21"/>
              </w:rPr>
              <w:t>总价</w:t>
            </w:r>
          </w:p>
        </w:tc>
        <w:tc>
          <w:tcPr>
            <w:tcW w:w="122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238"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457" w:type="dxa"/>
            <w:noWrap w:val="0"/>
            <w:vAlign w:val="center"/>
          </w:tcPr>
          <w:p>
            <w:pPr>
              <w:adjustRightInd w:val="0"/>
              <w:snapToGrid w:val="0"/>
              <w:ind w:right="105" w:rightChars="50"/>
              <w:jc w:val="center"/>
              <w:rPr>
                <w:rFonts w:ascii="仿宋_GB2312" w:hAnsi="仿宋_GB2312" w:eastAsia="仿宋_GB2312" w:cs="仿宋_GB2312"/>
                <w:szCs w:val="21"/>
              </w:rPr>
            </w:pPr>
          </w:p>
        </w:tc>
      </w:tr>
    </w:tbl>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firstLine="420" w:firstLineChars="200"/>
        <w:jc w:val="left"/>
        <w:rPr>
          <w:rFonts w:hint="eastAsia" w:ascii="仿宋_GB2312" w:hAnsi="仿宋_GB2312" w:eastAsia="仿宋_GB2312" w:cs="仿宋_GB2312"/>
          <w:szCs w:val="21"/>
        </w:rPr>
      </w:pPr>
      <w:r>
        <w:rPr>
          <w:rFonts w:hint="eastAsia" w:ascii="仿宋_GB2312" w:hAnsi="仿宋_GB2312" w:eastAsia="仿宋_GB2312" w:cs="仿宋_GB2312"/>
          <w:szCs w:val="21"/>
        </w:rPr>
        <w:t>注：1.此表中，总价应和开标一览表的投标总价相一致。</w:t>
      </w:r>
    </w:p>
    <w:p>
      <w:pPr>
        <w:adjustRightInd w:val="0"/>
        <w:snapToGrid w:val="0"/>
        <w:spacing w:line="360" w:lineRule="auto"/>
        <w:ind w:right="105" w:rightChars="50" w:firstLine="840" w:firstLineChars="400"/>
        <w:jc w:val="left"/>
        <w:rPr>
          <w:rFonts w:ascii="仿宋_GB2312" w:hAnsi="仿宋_GB2312" w:eastAsia="仿宋_GB2312" w:cs="仿宋_GB2312"/>
          <w:szCs w:val="21"/>
        </w:rPr>
      </w:pPr>
      <w:r>
        <w:rPr>
          <w:rFonts w:hint="eastAsia" w:ascii="仿宋_GB2312" w:hAnsi="仿宋_GB2312" w:eastAsia="仿宋_GB2312" w:cs="仿宋_GB2312"/>
          <w:szCs w:val="21"/>
        </w:rPr>
        <w:t>2.本表可根据实际情况进行拓展。</w:t>
      </w: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投标人名称（加盖单位公章）：</w:t>
      </w:r>
      <w:r>
        <w:rPr>
          <w:rFonts w:hint="eastAsia" w:ascii="仿宋_GB2312" w:hAnsi="仿宋_GB2312" w:eastAsia="仿宋_GB2312" w:cs="仿宋_GB2312"/>
          <w:szCs w:val="24"/>
          <w:u w:val="single"/>
        </w:rPr>
        <w:t xml:space="preserve">           </w:t>
      </w:r>
    </w:p>
    <w:p>
      <w:pPr>
        <w:adjustRightInd w:val="0"/>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szCs w:val="24"/>
        </w:rPr>
        <w:t>其授权委托人(签字或盖章)：</w:t>
      </w:r>
      <w:r>
        <w:rPr>
          <w:rFonts w:hint="eastAsia" w:ascii="仿宋_GB2312" w:hAnsi="仿宋_GB2312" w:eastAsia="仿宋_GB2312" w:cs="仿宋_GB2312"/>
          <w:szCs w:val="24"/>
          <w:u w:val="single"/>
        </w:rPr>
        <w:t xml:space="preserve">           </w:t>
      </w:r>
    </w:p>
    <w:p>
      <w:r>
        <w:rPr>
          <w:rFonts w:hint="eastAsia" w:ascii="仿宋_GB2312" w:hAnsi="仿宋_GB2312" w:eastAsia="仿宋_GB2312" w:cs="仿宋_GB2312"/>
          <w:szCs w:val="24"/>
        </w:rPr>
        <w:t>日期：</w:t>
      </w:r>
      <w:r>
        <w:rPr>
          <w:rFonts w:hint="eastAsia" w:ascii="仿宋_GB2312" w:hAnsi="仿宋_GB2312" w:eastAsia="仿宋_GB2312" w:cs="仿宋_GB2312"/>
          <w:szCs w:val="24"/>
          <w:u w:val="single"/>
        </w:rPr>
        <w:t xml:space="preserve">               </w:t>
      </w:r>
      <w:r>
        <w:rPr>
          <w:rFonts w:hint="eastAsia" w:ascii="仿宋_GB2312" w:hAnsi="仿宋_GB2312" w:eastAsia="仿宋_GB2312" w:cs="仿宋_GB2312"/>
          <w:szCs w:val="21"/>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十六、商务条款偏离表</w:t>
      </w:r>
    </w:p>
    <w:p>
      <w:pPr>
        <w:adjustRightInd w:val="0"/>
        <w:snapToGrid w:val="0"/>
        <w:ind w:right="105" w:rightChars="50"/>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商务条款偏离表</w:t>
      </w:r>
    </w:p>
    <w:p>
      <w:pPr>
        <w:adjustRightInd w:val="0"/>
        <w:snapToGrid w:val="0"/>
        <w:spacing w:line="360" w:lineRule="auto"/>
        <w:ind w:right="105" w:rightChars="50"/>
        <w:jc w:val="left"/>
        <w:rPr>
          <w:rFonts w:hint="eastAsia" w:ascii="仿宋_GB2312" w:hAnsi="仿宋_GB2312" w:eastAsia="仿宋_GB2312" w:cs="仿宋_GB2312"/>
          <w:b/>
          <w:bCs/>
          <w:szCs w:val="21"/>
        </w:rPr>
      </w:pPr>
      <w:r>
        <w:rPr>
          <w:rFonts w:hint="eastAsia" w:ascii="仿宋_GB2312" w:hAnsi="仿宋_GB2312" w:eastAsia="仿宋_GB2312" w:cs="仿宋_GB2312"/>
          <w:b/>
          <w:bCs/>
          <w:szCs w:val="21"/>
        </w:rPr>
        <w:t xml:space="preserve">包号： </w:t>
      </w:r>
    </w:p>
    <w:p/>
    <w:tbl>
      <w:tblPr>
        <w:tblStyle w:val="20"/>
        <w:tblW w:w="85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758"/>
        <w:gridCol w:w="2359"/>
        <w:gridCol w:w="1003"/>
        <w:gridCol w:w="8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547" w:type="dxa"/>
            <w:noWrap w:val="0"/>
            <w:vAlign w:val="center"/>
          </w:tcPr>
          <w:p>
            <w:pPr>
              <w:adjustRightInd w:val="0"/>
              <w:snapToGrid w:val="0"/>
              <w:ind w:right="-48" w:rightChars="-23"/>
              <w:jc w:val="center"/>
              <w:rPr>
                <w:rFonts w:ascii="仿宋_GB2312" w:hAnsi="仿宋_GB2312" w:eastAsia="仿宋_GB2312" w:cs="仿宋_GB2312"/>
                <w:szCs w:val="21"/>
              </w:rPr>
            </w:pPr>
            <w:r>
              <w:rPr>
                <w:rFonts w:hint="eastAsia" w:ascii="仿宋_GB2312" w:hAnsi="仿宋_GB2312" w:eastAsia="仿宋_GB2312" w:cs="仿宋_GB2312"/>
                <w:szCs w:val="21"/>
              </w:rPr>
              <w:t>序号</w:t>
            </w:r>
          </w:p>
        </w:tc>
        <w:tc>
          <w:tcPr>
            <w:tcW w:w="3758" w:type="dxa"/>
            <w:noWrap w:val="0"/>
            <w:vAlign w:val="center"/>
          </w:tcPr>
          <w:p>
            <w:pPr>
              <w:adjustRightInd w:val="0"/>
              <w:snapToGrid w:val="0"/>
              <w:ind w:right="-73" w:rightChars="-35"/>
              <w:jc w:val="center"/>
              <w:rPr>
                <w:rFonts w:ascii="仿宋_GB2312" w:hAnsi="仿宋_GB2312" w:eastAsia="仿宋_GB2312" w:cs="仿宋_GB2312"/>
                <w:szCs w:val="21"/>
              </w:rPr>
            </w:pPr>
            <w:r>
              <w:rPr>
                <w:rFonts w:hint="eastAsia" w:ascii="仿宋_GB2312" w:hAnsi="仿宋_GB2312" w:eastAsia="仿宋_GB2312" w:cs="仿宋_GB2312"/>
                <w:szCs w:val="21"/>
              </w:rPr>
              <w:t>招标文件的商务条款</w:t>
            </w:r>
          </w:p>
          <w:p>
            <w:pPr>
              <w:adjustRightInd w:val="0"/>
              <w:snapToGrid w:val="0"/>
              <w:ind w:right="-73" w:rightChars="-35"/>
              <w:jc w:val="center"/>
              <w:rPr>
                <w:rFonts w:ascii="仿宋_GB2312" w:hAnsi="仿宋_GB2312" w:eastAsia="仿宋_GB2312" w:cs="仿宋_GB2312"/>
                <w:szCs w:val="21"/>
              </w:rPr>
            </w:pPr>
            <w:r>
              <w:rPr>
                <w:rFonts w:hint="eastAsia" w:ascii="仿宋_GB2312" w:hAnsi="仿宋_GB2312" w:eastAsia="仿宋_GB2312" w:cs="仿宋_GB2312"/>
                <w:szCs w:val="21"/>
              </w:rPr>
              <w:t>（</w:t>
            </w:r>
            <w:r>
              <w:rPr>
                <w:rFonts w:hint="eastAsia" w:ascii="仿宋_GB2312" w:hAnsi="仿宋_GB2312" w:eastAsia="仿宋_GB2312" w:cs="仿宋_GB2312"/>
                <w:b/>
                <w:sz w:val="18"/>
                <w:szCs w:val="18"/>
              </w:rPr>
              <w:t>实质性要求及重要指标用★标注，★标注项不得负偏离，如果负偏离，则投标文件无效。</w:t>
            </w:r>
            <w:r>
              <w:rPr>
                <w:rFonts w:hint="eastAsia" w:ascii="仿宋_GB2312" w:hAnsi="仿宋_GB2312" w:eastAsia="仿宋_GB2312" w:cs="仿宋_GB2312"/>
                <w:szCs w:val="21"/>
              </w:rPr>
              <w:t>）</w:t>
            </w:r>
          </w:p>
        </w:tc>
        <w:tc>
          <w:tcPr>
            <w:tcW w:w="2359" w:type="dxa"/>
            <w:noWrap w:val="0"/>
            <w:vAlign w:val="center"/>
          </w:tcPr>
          <w:p>
            <w:pPr>
              <w:adjustRightInd w:val="0"/>
              <w:snapToGrid w:val="0"/>
              <w:ind w:right="-107" w:rightChars="-51"/>
              <w:jc w:val="center"/>
              <w:rPr>
                <w:rFonts w:ascii="仿宋_GB2312" w:hAnsi="仿宋_GB2312" w:eastAsia="仿宋_GB2312" w:cs="仿宋_GB2312"/>
                <w:szCs w:val="21"/>
              </w:rPr>
            </w:pPr>
            <w:r>
              <w:rPr>
                <w:rFonts w:hint="eastAsia" w:ascii="仿宋_GB2312" w:hAnsi="仿宋_GB2312" w:eastAsia="仿宋_GB2312" w:cs="仿宋_GB2312"/>
                <w:szCs w:val="21"/>
              </w:rPr>
              <w:t>投标文件响应内容</w:t>
            </w:r>
          </w:p>
        </w:tc>
        <w:tc>
          <w:tcPr>
            <w:tcW w:w="1003" w:type="dxa"/>
            <w:noWrap w:val="0"/>
            <w:vAlign w:val="center"/>
          </w:tcPr>
          <w:p>
            <w:pPr>
              <w:adjustRightInd w:val="0"/>
              <w:snapToGrid w:val="0"/>
              <w:ind w:left="-58" w:leftChars="-28" w:right="-105" w:rightChars="-50"/>
              <w:rPr>
                <w:rFonts w:ascii="仿宋_GB2312" w:hAnsi="仿宋_GB2312" w:eastAsia="仿宋_GB2312" w:cs="仿宋_GB2312"/>
                <w:szCs w:val="21"/>
              </w:rPr>
            </w:pPr>
            <w:r>
              <w:rPr>
                <w:rFonts w:hint="eastAsia" w:ascii="仿宋_GB2312" w:hAnsi="仿宋_GB2312" w:eastAsia="仿宋_GB2312" w:cs="仿宋_GB2312"/>
                <w:szCs w:val="21"/>
              </w:rPr>
              <w:t>偏离程度</w:t>
            </w:r>
          </w:p>
        </w:tc>
        <w:tc>
          <w:tcPr>
            <w:tcW w:w="893" w:type="dxa"/>
            <w:noWrap w:val="0"/>
            <w:vAlign w:val="center"/>
          </w:tcPr>
          <w:p>
            <w:pPr>
              <w:adjustRightInd w:val="0"/>
              <w:snapToGrid w:val="0"/>
              <w:ind w:left="-58" w:leftChars="-28" w:right="-105" w:rightChars="-50"/>
              <w:rPr>
                <w:rFonts w:ascii="仿宋_GB2312" w:hAnsi="仿宋_GB2312" w:eastAsia="仿宋_GB2312" w:cs="仿宋_GB2312"/>
                <w:szCs w:val="21"/>
              </w:rPr>
            </w:pPr>
            <w:r>
              <w:rPr>
                <w:rFonts w:hint="eastAsia" w:ascii="仿宋_GB2312" w:hAnsi="仿宋_GB2312" w:eastAsia="仿宋_GB2312" w:cs="仿宋_GB2312"/>
                <w:szCs w:val="21"/>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服务时间：</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服务地点：</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付款方式及条件：</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8"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验收标准：</w:t>
            </w:r>
          </w:p>
          <w:p>
            <w:pPr>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验收程序：</w:t>
            </w:r>
          </w:p>
          <w:p>
            <w:pPr>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验收报告：</w:t>
            </w:r>
          </w:p>
          <w:p>
            <w:pPr>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组织验收主体：本项目的履约验收工作由采购人依法组织实施。</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质量保证期：（  ）年</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保修期内上门免费服务，终身维修，提供配件：（    ）年</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7"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ind w:hanging="1"/>
              <w:rPr>
                <w:rFonts w:ascii="仿宋_GB2312" w:hAnsi="仿宋_GB2312" w:eastAsia="仿宋_GB2312" w:cs="仿宋_GB2312"/>
                <w:szCs w:val="21"/>
              </w:rPr>
            </w:pPr>
            <w:r>
              <w:rPr>
                <w:rFonts w:hint="eastAsia" w:ascii="仿宋_GB2312" w:hAnsi="仿宋_GB2312" w:eastAsia="仿宋_GB2312" w:cs="仿宋_GB2312"/>
                <w:szCs w:val="21"/>
              </w:rPr>
              <w:t>热线支持：</w:t>
            </w:r>
          </w:p>
          <w:p>
            <w:pPr>
              <w:adjustRightInd w:val="0"/>
              <w:snapToGrid w:val="0"/>
              <w:ind w:hanging="1"/>
              <w:rPr>
                <w:rFonts w:ascii="仿宋_GB2312" w:hAnsi="仿宋_GB2312" w:eastAsia="仿宋_GB2312" w:cs="仿宋_GB2312"/>
                <w:szCs w:val="21"/>
              </w:rPr>
            </w:pPr>
            <w:r>
              <w:rPr>
                <w:rFonts w:hint="eastAsia" w:ascii="仿宋_GB2312" w:hAnsi="仿宋_GB2312" w:eastAsia="仿宋_GB2312" w:cs="仿宋_GB2312"/>
                <w:szCs w:val="21"/>
              </w:rPr>
              <w:t>现场支持：（    ）小时内响应；（     ）小时内到达</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ind w:hanging="1"/>
              <w:rPr>
                <w:rFonts w:ascii="仿宋_GB2312" w:hAnsi="仿宋_GB2312" w:eastAsia="仿宋_GB2312" w:cs="仿宋_GB2312"/>
                <w:szCs w:val="21"/>
              </w:rPr>
            </w:pPr>
            <w:r>
              <w:rPr>
                <w:rFonts w:hint="eastAsia" w:ascii="仿宋_GB2312" w:hAnsi="仿宋_GB2312" w:eastAsia="仿宋_GB2312" w:cs="仿宋_GB2312"/>
                <w:szCs w:val="21"/>
              </w:rPr>
              <w:t>售后服务网络：</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ind w:hanging="1"/>
              <w:rPr>
                <w:rFonts w:ascii="仿宋_GB2312" w:hAnsi="仿宋_GB2312" w:eastAsia="仿宋_GB2312" w:cs="仿宋_GB2312"/>
                <w:szCs w:val="21"/>
              </w:rPr>
            </w:pPr>
            <w:r>
              <w:rPr>
                <w:rFonts w:hint="eastAsia" w:ascii="仿宋_GB2312" w:hAnsi="仿宋_GB2312" w:eastAsia="仿宋_GB2312" w:cs="仿宋_GB2312"/>
                <w:szCs w:val="21"/>
              </w:rPr>
              <w:t>维修技术人员及设备方面的保证措施及收费标准的要求：</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ind w:hanging="1"/>
              <w:rPr>
                <w:rFonts w:ascii="仿宋_GB2312" w:hAnsi="仿宋_GB2312" w:eastAsia="仿宋_GB2312" w:cs="仿宋_GB2312"/>
                <w:szCs w:val="21"/>
              </w:rPr>
            </w:pPr>
            <w:r>
              <w:rPr>
                <w:rFonts w:hint="eastAsia" w:ascii="仿宋_GB2312" w:hAnsi="仿宋_GB2312" w:eastAsia="仿宋_GB2312" w:cs="仿宋_GB2312"/>
                <w:szCs w:val="21"/>
              </w:rPr>
              <w:t>备品备件供应及优惠价格要求：</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ind w:hanging="1"/>
              <w:rPr>
                <w:rFonts w:ascii="仿宋_GB2312" w:hAnsi="仿宋_GB2312" w:eastAsia="仿宋_GB2312" w:cs="仿宋_GB2312"/>
                <w:szCs w:val="21"/>
              </w:rPr>
            </w:pPr>
            <w:r>
              <w:rPr>
                <w:rFonts w:hint="eastAsia" w:ascii="仿宋_GB2312" w:hAnsi="仿宋_GB2312" w:eastAsia="仿宋_GB2312" w:cs="仿宋_GB2312"/>
                <w:szCs w:val="21"/>
              </w:rPr>
              <w:t>培训人员现场培训（操作、维护等）：</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ind w:hanging="1"/>
              <w:rPr>
                <w:rFonts w:ascii="仿宋_GB2312" w:hAnsi="仿宋_GB2312" w:eastAsia="仿宋_GB2312" w:cs="仿宋_GB2312"/>
                <w:szCs w:val="21"/>
              </w:rPr>
            </w:pPr>
            <w:r>
              <w:rPr>
                <w:rFonts w:hint="eastAsia" w:ascii="仿宋_GB2312" w:hAnsi="仿宋_GB2312" w:eastAsia="仿宋_GB2312" w:cs="仿宋_GB2312"/>
                <w:szCs w:val="21"/>
              </w:rPr>
              <w:t>系统扩展、升级服务要求：</w:t>
            </w:r>
          </w:p>
        </w:tc>
        <w:tc>
          <w:tcPr>
            <w:tcW w:w="2359"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5" w:hRule="atLeast"/>
          <w:jc w:val="center"/>
        </w:trPr>
        <w:tc>
          <w:tcPr>
            <w:tcW w:w="547"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3758" w:type="dxa"/>
            <w:noWrap w:val="0"/>
            <w:vAlign w:val="center"/>
          </w:tcPr>
          <w:p>
            <w:pPr>
              <w:adjustRightInd w:val="0"/>
              <w:snapToGrid w:val="0"/>
              <w:ind w:hanging="1"/>
              <w:rPr>
                <w:rFonts w:ascii="仿宋_GB2312" w:hAnsi="仿宋_GB2312" w:eastAsia="仿宋_GB2312" w:cs="仿宋_GB2312"/>
                <w:szCs w:val="21"/>
              </w:rPr>
            </w:pPr>
            <w:r>
              <w:rPr>
                <w:rFonts w:hint="eastAsia" w:ascii="仿宋_GB2312" w:hAnsi="仿宋_GB2312" w:eastAsia="仿宋_GB2312" w:cs="仿宋_GB2312"/>
                <w:szCs w:val="21"/>
              </w:rPr>
              <w:t>其它</w:t>
            </w:r>
          </w:p>
        </w:tc>
        <w:tc>
          <w:tcPr>
            <w:tcW w:w="2359" w:type="dxa"/>
            <w:noWrap w:val="0"/>
            <w:vAlign w:val="center"/>
          </w:tcPr>
          <w:p>
            <w:pPr>
              <w:adjustRightInd w:val="0"/>
              <w:snapToGrid w:val="0"/>
              <w:ind w:left="-37" w:leftChars="-18"/>
              <w:jc w:val="left"/>
              <w:rPr>
                <w:rFonts w:ascii="仿宋_GB2312" w:hAnsi="仿宋_GB2312" w:eastAsia="仿宋_GB2312" w:cs="仿宋_GB2312"/>
                <w:szCs w:val="21"/>
              </w:rPr>
            </w:pPr>
            <w:r>
              <w:rPr>
                <w:rFonts w:hint="eastAsia" w:ascii="仿宋_GB2312" w:hAnsi="仿宋_GB2312" w:eastAsia="仿宋_GB2312" w:cs="仿宋_GB2312"/>
                <w:szCs w:val="21"/>
              </w:rPr>
              <w:t>采购单位未提供需求而投标人认为需说明及补充的内容在此填列</w:t>
            </w:r>
          </w:p>
        </w:tc>
        <w:tc>
          <w:tcPr>
            <w:tcW w:w="1003" w:type="dxa"/>
            <w:noWrap w:val="0"/>
            <w:vAlign w:val="center"/>
          </w:tcPr>
          <w:p>
            <w:pPr>
              <w:adjustRightInd w:val="0"/>
              <w:snapToGrid w:val="0"/>
              <w:ind w:right="105" w:rightChars="50"/>
              <w:jc w:val="center"/>
              <w:rPr>
                <w:rFonts w:ascii="仿宋_GB2312" w:hAnsi="仿宋_GB2312" w:eastAsia="仿宋_GB2312" w:cs="仿宋_GB2312"/>
                <w:szCs w:val="21"/>
              </w:rPr>
            </w:pPr>
          </w:p>
        </w:tc>
        <w:tc>
          <w:tcPr>
            <w:tcW w:w="893" w:type="dxa"/>
            <w:noWrap w:val="0"/>
            <w:vAlign w:val="center"/>
          </w:tcPr>
          <w:p>
            <w:pPr>
              <w:adjustRightInd w:val="0"/>
              <w:snapToGrid w:val="0"/>
              <w:ind w:right="105" w:rightChars="50"/>
              <w:jc w:val="center"/>
              <w:rPr>
                <w:rFonts w:ascii="仿宋_GB2312" w:hAnsi="仿宋_GB2312" w:eastAsia="仿宋_GB2312" w:cs="仿宋_GB2312"/>
                <w:szCs w:val="21"/>
              </w:rPr>
            </w:pPr>
          </w:p>
        </w:tc>
      </w:tr>
    </w:tbl>
    <w:p>
      <w:pPr>
        <w:adjustRightInd w:val="0"/>
        <w:snapToGrid w:val="0"/>
        <w:spacing w:line="360" w:lineRule="auto"/>
        <w:ind w:right="105" w:rightChars="50"/>
        <w:jc w:val="left"/>
        <w:rPr>
          <w:rFonts w:hint="eastAsia" w:ascii="仿宋_GB2312" w:hAnsi="仿宋_GB2312" w:eastAsia="仿宋_GB2312" w:cs="仿宋_GB2312"/>
          <w:b/>
          <w:szCs w:val="21"/>
        </w:rPr>
      </w:pPr>
    </w:p>
    <w:p>
      <w:pPr>
        <w:adjustRightInd w:val="0"/>
        <w:snapToGrid w:val="0"/>
        <w:spacing w:line="360" w:lineRule="auto"/>
        <w:ind w:right="105" w:rightChars="50"/>
        <w:jc w:val="left"/>
        <w:rPr>
          <w:rFonts w:ascii="仿宋_GB2312" w:hAnsi="仿宋_GB2312" w:eastAsia="仿宋_GB2312" w:cs="仿宋_GB2312"/>
          <w:szCs w:val="21"/>
        </w:rPr>
      </w:pPr>
      <w:r>
        <w:rPr>
          <w:rFonts w:hint="eastAsia" w:ascii="仿宋_GB2312" w:hAnsi="仿宋_GB2312" w:eastAsia="仿宋_GB2312" w:cs="仿宋_GB2312"/>
          <w:b/>
          <w:szCs w:val="21"/>
        </w:rPr>
        <w:t>填表要求：</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1．“投标文件响应内容”一栏由投标人按照招标文件要求填写，进行响应。</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2．“偏离程度”一栏根据“投标文件响应内容”与招标文件逐项对照的结果填写。偏离必须用 “正偏离、负偏离或无偏离”三个名称中的一种进行标注。</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3．“偏离说明”一栏由投标人对偏离的情况做详细说明。</w:t>
      </w:r>
    </w:p>
    <w:p>
      <w:pPr>
        <w:adjustRightInd w:val="0"/>
        <w:snapToGrid w:val="0"/>
        <w:spacing w:line="360" w:lineRule="auto"/>
        <w:rPr>
          <w:rFonts w:hint="eastAsia" w:ascii="仿宋_GB2312" w:hAnsi="仿宋_GB2312" w:eastAsia="仿宋_GB2312" w:cs="仿宋_GB2312"/>
          <w:szCs w:val="21"/>
        </w:rPr>
      </w:pPr>
      <w:r>
        <w:rPr>
          <w:rFonts w:hint="eastAsia" w:ascii="仿宋_GB2312" w:hAnsi="仿宋_GB2312" w:eastAsia="仿宋_GB2312" w:cs="仿宋_GB2312"/>
          <w:szCs w:val="21"/>
        </w:rPr>
        <w:t>4.此表为范本格式仅供参考，可与第三章‘服务需求’进行相应替换，具体填报以第三章‘服务需求’中的内容为准。</w:t>
      </w:r>
    </w:p>
    <w:p>
      <w:pPr>
        <w:adjustRightInd w:val="0"/>
        <w:snapToGrid w:val="0"/>
        <w:spacing w:line="360" w:lineRule="auto"/>
        <w:rPr>
          <w:rFonts w:hint="eastAsia" w:ascii="仿宋_GB2312" w:hAnsi="仿宋_GB2312" w:eastAsia="仿宋_GB2312" w:cs="仿宋_GB2312"/>
          <w:szCs w:val="21"/>
        </w:rPr>
      </w:pPr>
    </w:p>
    <w:p>
      <w:pPr>
        <w:adjustRightInd w:val="0"/>
        <w:snapToGrid w:val="0"/>
        <w:spacing w:line="360" w:lineRule="auto"/>
        <w:rPr>
          <w:rFonts w:ascii="仿宋_GB2312" w:hAnsi="仿宋_GB2312" w:eastAsia="仿宋_GB2312" w:cs="仿宋_GB2312"/>
          <w:szCs w:val="21"/>
        </w:rPr>
      </w:pPr>
    </w:p>
    <w:p>
      <w:pPr>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投标人名称（加盖单位公章）：</w:t>
      </w:r>
      <w:r>
        <w:rPr>
          <w:rFonts w:hint="eastAsia" w:ascii="仿宋_GB2312" w:hAnsi="仿宋_GB2312" w:eastAsia="仿宋_GB2312" w:cs="仿宋_GB2312"/>
          <w:szCs w:val="24"/>
          <w:u w:val="single"/>
        </w:rPr>
        <w:t xml:space="preserve">           </w:t>
      </w:r>
    </w:p>
    <w:p>
      <w:pPr>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szCs w:val="24"/>
        </w:rPr>
        <w:t>其授权委托人(签字或盖章)：</w:t>
      </w:r>
      <w:r>
        <w:rPr>
          <w:rFonts w:hint="eastAsia" w:ascii="仿宋_GB2312" w:hAnsi="仿宋_GB2312" w:eastAsia="仿宋_GB2312" w:cs="仿宋_GB2312"/>
          <w:szCs w:val="24"/>
          <w:u w:val="single"/>
        </w:rPr>
        <w:t xml:space="preserve">           </w:t>
      </w:r>
    </w:p>
    <w:p>
      <w:r>
        <w:rPr>
          <w:rFonts w:hint="eastAsia" w:ascii="仿宋_GB2312" w:hAnsi="仿宋_GB2312" w:eastAsia="仿宋_GB2312" w:cs="仿宋_GB2312"/>
          <w:szCs w:val="24"/>
        </w:rPr>
        <w:t>日期：</w:t>
      </w:r>
      <w:r>
        <w:rPr>
          <w:rFonts w:hint="eastAsia" w:ascii="仿宋_GB2312" w:hAnsi="仿宋_GB2312" w:eastAsia="仿宋_GB2312" w:cs="仿宋_GB2312"/>
          <w:szCs w:val="24"/>
          <w:u w:val="single"/>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十七、服务需求响应表</w:t>
      </w:r>
    </w:p>
    <w:p>
      <w:pPr>
        <w:adjustRightInd w:val="0"/>
        <w:snapToGrid w:val="0"/>
        <w:spacing w:before="319" w:beforeLines="100" w:line="360" w:lineRule="auto"/>
        <w:ind w:right="105" w:rightChars="50"/>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服务需求响应表</w:t>
      </w:r>
    </w:p>
    <w:tbl>
      <w:tblPr>
        <w:tblStyle w:val="20"/>
        <w:tblW w:w="88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43"/>
        <w:gridCol w:w="2452"/>
        <w:gridCol w:w="1118"/>
        <w:gridCol w:w="1166"/>
        <w:gridCol w:w="11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8897" w:type="dxa"/>
            <w:gridSpan w:val="5"/>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right="105" w:rightChars="50"/>
              <w:jc w:val="left"/>
              <w:rPr>
                <w:rFonts w:ascii="仿宋_GB2312" w:hAnsi="仿宋_GB2312" w:eastAsia="仿宋_GB2312" w:cs="仿宋_GB2312"/>
                <w:szCs w:val="21"/>
              </w:rPr>
            </w:pPr>
            <w:r>
              <w:rPr>
                <w:rFonts w:hint="eastAsia" w:ascii="仿宋_GB2312" w:hAnsi="仿宋_GB2312" w:eastAsia="仿宋_GB2312" w:cs="仿宋_GB2312"/>
                <w:szCs w:val="21"/>
              </w:rPr>
              <w:t>包号/序号：</w:t>
            </w:r>
          </w:p>
          <w:p>
            <w:pPr>
              <w:tabs>
                <w:tab w:val="left" w:pos="0"/>
              </w:tabs>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服务内容：</w:t>
            </w:r>
          </w:p>
          <w:p>
            <w:pPr>
              <w:tabs>
                <w:tab w:val="left" w:pos="0"/>
              </w:tabs>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rPr>
              <w:t>中小企业划型所属行业：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3043"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招标文件要求</w:t>
            </w:r>
          </w:p>
          <w:p>
            <w:pPr>
              <w:ind w:hanging="1"/>
              <w:rPr>
                <w:rFonts w:ascii="仿宋_GB2312" w:hAnsi="仿宋_GB2312" w:eastAsia="仿宋_GB2312" w:cs="仿宋_GB2312"/>
                <w:b/>
                <w:szCs w:val="21"/>
              </w:rPr>
            </w:pPr>
            <w:r>
              <w:rPr>
                <w:rFonts w:hint="eastAsia" w:ascii="仿宋_GB2312" w:hAnsi="仿宋_GB2312" w:eastAsia="仿宋_GB2312" w:cs="仿宋_GB2312"/>
                <w:b/>
                <w:sz w:val="18"/>
                <w:szCs w:val="18"/>
              </w:rPr>
              <w:t>重要提示：实质性要求及重要指标用★标注（“★”必须标注在序号前），★标注项不得负偏离，如果负偏离，则投标文件无效。</w:t>
            </w:r>
          </w:p>
        </w:tc>
        <w:tc>
          <w:tcPr>
            <w:tcW w:w="2452"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投标文件</w:t>
            </w:r>
          </w:p>
          <w:p>
            <w:pPr>
              <w:tabs>
                <w:tab w:val="left" w:pos="0"/>
              </w:tabs>
              <w:spacing w:line="240" w:lineRule="exact"/>
              <w:jc w:val="center"/>
              <w:rPr>
                <w:rFonts w:ascii="仿宋_GB2312" w:hAnsi="仿宋_GB2312" w:eastAsia="仿宋_GB2312" w:cs="仿宋_GB2312"/>
                <w:kern w:val="0"/>
                <w:szCs w:val="21"/>
              </w:rPr>
            </w:pPr>
            <w:r>
              <w:rPr>
                <w:rFonts w:hint="eastAsia" w:ascii="仿宋_GB2312" w:hAnsi="仿宋_GB2312" w:eastAsia="仿宋_GB2312" w:cs="仿宋_GB2312"/>
                <w:szCs w:val="21"/>
              </w:rPr>
              <w:t>响应内容</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tabs>
                <w:tab w:val="left" w:pos="-75"/>
              </w:tabs>
              <w:spacing w:line="240" w:lineRule="exact"/>
              <w:ind w:right="-56" w:rightChars="-27"/>
              <w:jc w:val="center"/>
              <w:rPr>
                <w:rFonts w:ascii="仿宋_GB2312" w:hAnsi="仿宋_GB2312" w:eastAsia="仿宋_GB2312" w:cs="仿宋_GB2312"/>
                <w:kern w:val="0"/>
                <w:szCs w:val="21"/>
              </w:rPr>
            </w:pPr>
            <w:r>
              <w:rPr>
                <w:rFonts w:hint="eastAsia" w:ascii="仿宋_GB2312" w:hAnsi="仿宋_GB2312" w:eastAsia="仿宋_GB2312" w:cs="仿宋_GB2312"/>
                <w:szCs w:val="21"/>
              </w:rPr>
              <w:t>偏离程度</w:t>
            </w:r>
          </w:p>
        </w:tc>
        <w:tc>
          <w:tcPr>
            <w:tcW w:w="1166" w:type="dxa"/>
            <w:tcBorders>
              <w:top w:val="single" w:color="auto" w:sz="4" w:space="0"/>
              <w:left w:val="single" w:color="auto" w:sz="4" w:space="0"/>
              <w:bottom w:val="single" w:color="auto" w:sz="4" w:space="0"/>
              <w:right w:val="single" w:color="auto" w:sz="4" w:space="0"/>
            </w:tcBorders>
            <w:noWrap w:val="0"/>
            <w:vAlign w:val="center"/>
          </w:tcPr>
          <w:p>
            <w:pPr>
              <w:tabs>
                <w:tab w:val="left" w:pos="-75"/>
              </w:tabs>
              <w:spacing w:line="240" w:lineRule="exact"/>
              <w:ind w:right="-56" w:rightChars="-27"/>
              <w:jc w:val="center"/>
              <w:rPr>
                <w:rFonts w:ascii="仿宋_GB2312" w:hAnsi="仿宋_GB2312" w:eastAsia="仿宋_GB2312" w:cs="仿宋_GB2312"/>
                <w:kern w:val="0"/>
                <w:szCs w:val="21"/>
              </w:rPr>
            </w:pPr>
            <w:r>
              <w:rPr>
                <w:rFonts w:hint="eastAsia" w:ascii="仿宋_GB2312" w:hAnsi="仿宋_GB2312" w:eastAsia="仿宋_GB2312" w:cs="仿宋_GB2312"/>
                <w:szCs w:val="21"/>
              </w:rPr>
              <w:t>偏离说明</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tabs>
                <w:tab w:val="left" w:pos="-75"/>
              </w:tabs>
              <w:spacing w:line="240" w:lineRule="exact"/>
              <w:ind w:right="-56" w:rightChars="-27"/>
              <w:jc w:val="center"/>
              <w:rPr>
                <w:rFonts w:ascii="仿宋_GB2312" w:hAnsi="仿宋_GB2312" w:eastAsia="仿宋_GB2312" w:cs="仿宋_GB2312"/>
                <w:kern w:val="0"/>
                <w:szCs w:val="21"/>
              </w:rPr>
            </w:pPr>
            <w:r>
              <w:rPr>
                <w:rFonts w:hint="eastAsia" w:ascii="仿宋_GB2312" w:hAnsi="仿宋_GB2312" w:eastAsia="仿宋_GB2312" w:cs="仿宋_GB2312"/>
                <w:szCs w:val="21"/>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304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hanging="1"/>
              <w:jc w:val="center"/>
              <w:rPr>
                <w:rFonts w:ascii="仿宋_GB2312" w:hAnsi="仿宋_GB2312" w:eastAsia="仿宋_GB2312" w:cs="仿宋_GB2312"/>
                <w:szCs w:val="21"/>
              </w:rPr>
            </w:pPr>
            <w:r>
              <w:rPr>
                <w:rFonts w:hint="eastAsia" w:ascii="仿宋_GB2312" w:hAnsi="仿宋_GB2312" w:eastAsia="仿宋_GB2312" w:cs="仿宋_GB2312"/>
                <w:szCs w:val="21"/>
              </w:rPr>
              <w:t>按服务需求填写</w:t>
            </w:r>
          </w:p>
        </w:tc>
        <w:tc>
          <w:tcPr>
            <w:tcW w:w="2452" w:type="dxa"/>
            <w:tcBorders>
              <w:top w:val="single" w:color="auto" w:sz="4" w:space="0"/>
              <w:left w:val="single" w:color="auto" w:sz="4" w:space="0"/>
              <w:bottom w:val="single" w:color="auto" w:sz="4" w:space="0"/>
              <w:right w:val="single" w:color="auto" w:sz="4" w:space="0"/>
            </w:tcBorders>
            <w:noWrap w:val="0"/>
            <w:vAlign w:val="center"/>
          </w:tcPr>
          <w:p>
            <w:pPr>
              <w:tabs>
                <w:tab w:val="left" w:pos="0"/>
              </w:tabs>
              <w:adjustRightInd w:val="0"/>
              <w:snapToGrid w:val="0"/>
              <w:jc w:val="center"/>
              <w:rPr>
                <w:rFonts w:ascii="仿宋_GB2312" w:hAnsi="仿宋_GB2312" w:eastAsia="仿宋_GB2312" w:cs="仿宋_GB2312"/>
                <w:kern w:val="0"/>
                <w:szCs w:val="21"/>
              </w:rPr>
            </w:pPr>
          </w:p>
        </w:tc>
        <w:tc>
          <w:tcPr>
            <w:tcW w:w="1118" w:type="dxa"/>
            <w:tcBorders>
              <w:top w:val="single" w:color="auto" w:sz="4" w:space="0"/>
              <w:left w:val="single" w:color="auto" w:sz="4" w:space="0"/>
              <w:bottom w:val="single" w:color="auto" w:sz="4" w:space="0"/>
              <w:right w:val="single" w:color="auto" w:sz="4" w:space="0"/>
            </w:tcBorders>
            <w:noWrap w:val="0"/>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c>
          <w:tcPr>
            <w:tcW w:w="1166" w:type="dxa"/>
            <w:tcBorders>
              <w:top w:val="single" w:color="auto" w:sz="4" w:space="0"/>
              <w:left w:val="single" w:color="auto" w:sz="4" w:space="0"/>
              <w:bottom w:val="single" w:color="auto" w:sz="4" w:space="0"/>
              <w:right w:val="single" w:color="auto" w:sz="4" w:space="0"/>
            </w:tcBorders>
            <w:noWrap w:val="0"/>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c>
          <w:tcPr>
            <w:tcW w:w="1118" w:type="dxa"/>
            <w:tcBorders>
              <w:top w:val="single" w:color="auto" w:sz="4" w:space="0"/>
              <w:left w:val="single" w:color="auto" w:sz="4" w:space="0"/>
              <w:bottom w:val="single" w:color="auto" w:sz="4" w:space="0"/>
              <w:right w:val="single" w:color="auto" w:sz="4" w:space="0"/>
            </w:tcBorders>
            <w:noWrap w:val="0"/>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304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hanging="1"/>
              <w:jc w:val="center"/>
              <w:rPr>
                <w:rFonts w:ascii="仿宋_GB2312" w:hAnsi="仿宋_GB2312" w:eastAsia="仿宋_GB2312" w:cs="仿宋_GB2312"/>
                <w:szCs w:val="21"/>
              </w:rPr>
            </w:pPr>
            <w:r>
              <w:rPr>
                <w:rFonts w:hint="eastAsia" w:ascii="仿宋_GB2312" w:hAnsi="仿宋_GB2312" w:eastAsia="仿宋_GB2312" w:cs="仿宋_GB2312"/>
                <w:szCs w:val="21"/>
              </w:rPr>
              <w:t>其它</w:t>
            </w:r>
          </w:p>
        </w:tc>
        <w:tc>
          <w:tcPr>
            <w:tcW w:w="2452" w:type="dxa"/>
            <w:tcBorders>
              <w:top w:val="single" w:color="auto" w:sz="4" w:space="0"/>
              <w:left w:val="single" w:color="auto" w:sz="4" w:space="0"/>
              <w:bottom w:val="single" w:color="auto" w:sz="4" w:space="0"/>
              <w:right w:val="single" w:color="auto" w:sz="4" w:space="0"/>
            </w:tcBorders>
            <w:noWrap w:val="0"/>
            <w:vAlign w:val="center"/>
          </w:tcPr>
          <w:p>
            <w:pPr>
              <w:tabs>
                <w:tab w:val="left" w:pos="0"/>
              </w:tabs>
              <w:adjustRightInd w:val="0"/>
              <w:snapToGrid w:val="0"/>
              <w:jc w:val="left"/>
              <w:rPr>
                <w:rFonts w:ascii="仿宋_GB2312" w:hAnsi="仿宋_GB2312" w:eastAsia="仿宋_GB2312" w:cs="仿宋_GB2312"/>
                <w:kern w:val="0"/>
                <w:szCs w:val="21"/>
              </w:rPr>
            </w:pPr>
            <w:r>
              <w:rPr>
                <w:rFonts w:hint="eastAsia" w:ascii="仿宋_GB2312" w:hAnsi="仿宋_GB2312" w:eastAsia="仿宋_GB2312" w:cs="仿宋_GB2312"/>
                <w:szCs w:val="21"/>
              </w:rPr>
              <w:t>采购单位未提供需求而投标人认为需说明及补充的内容在此填列</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c>
          <w:tcPr>
            <w:tcW w:w="1166" w:type="dxa"/>
            <w:tcBorders>
              <w:top w:val="single" w:color="auto" w:sz="4" w:space="0"/>
              <w:left w:val="single" w:color="auto" w:sz="4" w:space="0"/>
              <w:bottom w:val="single" w:color="auto" w:sz="4" w:space="0"/>
              <w:right w:val="single" w:color="auto" w:sz="4" w:space="0"/>
            </w:tcBorders>
            <w:noWrap w:val="0"/>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c>
          <w:tcPr>
            <w:tcW w:w="1118" w:type="dxa"/>
            <w:tcBorders>
              <w:top w:val="single" w:color="auto" w:sz="4" w:space="0"/>
              <w:left w:val="single" w:color="auto" w:sz="4" w:space="0"/>
              <w:bottom w:val="single" w:color="auto" w:sz="4" w:space="0"/>
              <w:right w:val="single" w:color="auto" w:sz="4" w:space="0"/>
            </w:tcBorders>
            <w:noWrap w:val="0"/>
            <w:vAlign w:val="center"/>
          </w:tcPr>
          <w:p>
            <w:pPr>
              <w:tabs>
                <w:tab w:val="left" w:pos="-75"/>
              </w:tabs>
              <w:spacing w:line="240" w:lineRule="exact"/>
              <w:ind w:right="-56" w:rightChars="-27"/>
              <w:jc w:val="center"/>
              <w:rPr>
                <w:rFonts w:ascii="仿宋_GB2312" w:hAnsi="仿宋_GB2312" w:eastAsia="仿宋_GB2312" w:cs="仿宋_GB2312"/>
                <w:kern w:val="0"/>
                <w:szCs w:val="21"/>
              </w:rPr>
            </w:pPr>
          </w:p>
        </w:tc>
      </w:tr>
    </w:tbl>
    <w:p>
      <w:pPr>
        <w:rPr>
          <w:rFonts w:hint="eastAsia"/>
        </w:rPr>
      </w:pPr>
    </w:p>
    <w:p>
      <w:pPr>
        <w:adjustRightInd w:val="0"/>
        <w:snapToGrid w:val="0"/>
        <w:spacing w:line="360" w:lineRule="auto"/>
        <w:ind w:right="105" w:rightChars="50"/>
        <w:jc w:val="left"/>
        <w:rPr>
          <w:rFonts w:ascii="仿宋_GB2312" w:hAnsi="仿宋_GB2312" w:eastAsia="仿宋_GB2312" w:cs="仿宋_GB2312"/>
          <w:b/>
          <w:szCs w:val="21"/>
        </w:rPr>
      </w:pPr>
      <w:r>
        <w:rPr>
          <w:rFonts w:hint="eastAsia" w:ascii="仿宋_GB2312" w:hAnsi="仿宋_GB2312" w:eastAsia="仿宋_GB2312" w:cs="仿宋_GB2312"/>
          <w:b/>
          <w:szCs w:val="21"/>
        </w:rPr>
        <w:t>填表要求：</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1．“投标文件响应内容”一栏由投标人按照招标文件要求填写并进行逐项响应。</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2．“偏离程度”一栏根据“投标文件响应内容”与招标文件逐项对照的结果填写。偏离必须用 “正偏离、负偏离或无偏离”三个名称中的一种进行标注。</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3．“偏离说明”一栏由投标人对偏离的情况做详细说明。</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rPr>
        <w:t>4.此表为范本格式仅供参考，可与第三章‘服务需求’进行相应替换，具体填报以第三章‘服务需求’中的内容为准。</w:t>
      </w:r>
    </w:p>
    <w:p/>
    <w:p/>
    <w:p>
      <w:pPr>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投标人名称（加盖单位公章）：</w:t>
      </w:r>
      <w:r>
        <w:rPr>
          <w:rFonts w:hint="eastAsia" w:ascii="仿宋_GB2312" w:hAnsi="仿宋_GB2312" w:eastAsia="仿宋_GB2312" w:cs="仿宋_GB2312"/>
          <w:szCs w:val="24"/>
          <w:u w:val="single"/>
        </w:rPr>
        <w:t xml:space="preserve">           </w:t>
      </w:r>
    </w:p>
    <w:p>
      <w:pPr>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szCs w:val="24"/>
        </w:rPr>
        <w:t>其授权委托人(签字或盖章)：</w:t>
      </w:r>
      <w:r>
        <w:rPr>
          <w:rFonts w:hint="eastAsia" w:ascii="仿宋_GB2312" w:hAnsi="仿宋_GB2312" w:eastAsia="仿宋_GB2312" w:cs="仿宋_GB2312"/>
          <w:szCs w:val="24"/>
          <w:u w:val="single"/>
        </w:rPr>
        <w:t xml:space="preserve">           </w:t>
      </w:r>
    </w:p>
    <w:p>
      <w:r>
        <w:rPr>
          <w:rFonts w:hint="eastAsia" w:ascii="仿宋_GB2312" w:hAnsi="仿宋_GB2312" w:eastAsia="仿宋_GB2312" w:cs="仿宋_GB2312"/>
          <w:szCs w:val="24"/>
        </w:rPr>
        <w:t>日期：</w:t>
      </w:r>
      <w:r>
        <w:rPr>
          <w:rFonts w:hint="eastAsia" w:ascii="仿宋_GB2312" w:hAnsi="仿宋_GB2312" w:eastAsia="仿宋_GB2312" w:cs="仿宋_GB2312"/>
          <w:szCs w:val="24"/>
          <w:u w:val="single"/>
        </w:rPr>
        <w:t xml:space="preserve">               </w:t>
      </w:r>
      <w:r>
        <w:rPr>
          <w:rFonts w:hint="eastAsia" w:ascii="仿宋_GB2312" w:hAnsi="仿宋_GB2312" w:eastAsia="仿宋_GB2312" w:cs="仿宋_GB2312"/>
          <w:szCs w:val="21"/>
          <w:u w:val="single"/>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十八、投标人关联单位说明</w:t>
      </w:r>
    </w:p>
    <w:p>
      <w:pPr>
        <w:adjustRightInd w:val="0"/>
        <w:snapToGrid w:val="0"/>
        <w:spacing w:before="319" w:beforeLines="100" w:after="319" w:afterLines="100" w:line="360" w:lineRule="auto"/>
        <w:ind w:right="105" w:rightChars="50"/>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投标人关联单位的说明</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说明：投标人应当如实披露与本单位存在下列关联关系的单位名称：</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（1）与投标人单位法定代表人（或非法人组织负责人）为同一人的其他单位；</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（2）与投标人存在直接控股、管理关系的其他单位。</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注：若无此情形，写“无”即可</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投标人名称（加盖单位公章）：</w:t>
      </w:r>
      <w:r>
        <w:rPr>
          <w:rFonts w:hint="eastAsia" w:ascii="仿宋_GB2312" w:hAnsi="仿宋_GB2312" w:eastAsia="仿宋_GB2312" w:cs="仿宋_GB2312"/>
          <w:szCs w:val="24"/>
          <w:u w:val="single"/>
        </w:rPr>
        <w:t xml:space="preserve">           </w:t>
      </w:r>
    </w:p>
    <w:p>
      <w:pPr>
        <w:snapToGrid w:val="0"/>
        <w:spacing w:line="480" w:lineRule="auto"/>
        <w:rPr>
          <w:rFonts w:ascii="仿宋_GB2312" w:hAnsi="仿宋_GB2312" w:eastAsia="仿宋_GB2312" w:cs="仿宋_GB2312"/>
          <w:szCs w:val="24"/>
        </w:rPr>
      </w:pPr>
      <w:r>
        <w:rPr>
          <w:rFonts w:hint="eastAsia" w:ascii="仿宋_GB2312" w:hAnsi="仿宋_GB2312" w:eastAsia="仿宋_GB2312" w:cs="仿宋_GB2312"/>
          <w:szCs w:val="24"/>
        </w:rPr>
        <w:t>法定代表人（或</w:t>
      </w:r>
      <w:r>
        <w:rPr>
          <w:rFonts w:hint="eastAsia" w:ascii="仿宋_GB2312" w:hAnsi="仿宋_GB2312" w:eastAsia="仿宋_GB2312" w:cs="仿宋_GB2312"/>
          <w:szCs w:val="21"/>
        </w:rPr>
        <w:t>非法人组织负责人）或</w:t>
      </w:r>
      <w:r>
        <w:rPr>
          <w:rFonts w:hint="eastAsia" w:ascii="仿宋_GB2312" w:hAnsi="仿宋_GB2312" w:eastAsia="仿宋_GB2312" w:cs="仿宋_GB2312"/>
          <w:szCs w:val="24"/>
        </w:rPr>
        <w:t>其授权委托人(签字或盖章)：</w:t>
      </w:r>
      <w:r>
        <w:rPr>
          <w:rFonts w:hint="eastAsia" w:ascii="仿宋_GB2312" w:hAnsi="仿宋_GB2312" w:eastAsia="仿宋_GB2312" w:cs="仿宋_GB2312"/>
          <w:szCs w:val="24"/>
          <w:u w:val="single"/>
        </w:rPr>
        <w:t xml:space="preserve">           </w:t>
      </w:r>
    </w:p>
    <w:p>
      <w:r>
        <w:rPr>
          <w:rFonts w:hint="eastAsia" w:ascii="仿宋_GB2312" w:hAnsi="仿宋_GB2312" w:eastAsia="仿宋_GB2312" w:cs="仿宋_GB2312"/>
          <w:szCs w:val="24"/>
        </w:rPr>
        <w:t>日期：</w:t>
      </w:r>
      <w:r>
        <w:rPr>
          <w:rFonts w:hint="eastAsia" w:ascii="仿宋_GB2312" w:hAnsi="仿宋_GB2312" w:eastAsia="仿宋_GB2312" w:cs="仿宋_GB2312"/>
          <w:szCs w:val="24"/>
          <w:u w:val="single"/>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十九、监狱企业证明文件</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二十、中小企业声明函</w:t>
      </w:r>
    </w:p>
    <w:p>
      <w:pPr>
        <w:widowControl/>
        <w:jc w:val="left"/>
        <w:rPr>
          <w:rFonts w:ascii="宋体" w:hAnsi="宋体"/>
          <w:kern w:val="0"/>
          <w:sz w:val="28"/>
          <w:szCs w:val="28"/>
        </w:rPr>
      </w:pPr>
    </w:p>
    <w:p>
      <w:pPr>
        <w:widowControl/>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中小企业声明函(工程、服务)</w:t>
      </w:r>
    </w:p>
    <w:p>
      <w:pPr>
        <w:widowControl/>
        <w:jc w:val="center"/>
        <w:rPr>
          <w:rFonts w:ascii="仿宋_GB2312" w:hAnsi="仿宋_GB2312" w:eastAsia="仿宋_GB2312" w:cs="仿宋_GB2312"/>
          <w:b/>
          <w:sz w:val="32"/>
          <w:szCs w:val="32"/>
        </w:rPr>
      </w:pPr>
    </w:p>
    <w:p>
      <w:pPr>
        <w:widowControl/>
        <w:ind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本公司(联合体)郑重声明，根据《财政部 工业和信息化部关于印发&lt;政府采购促进中小企业发展管理办法&gt;的通知》(财库(2020)46号)的规定，本公司(联合体)参加(单位名称)的(项目名称)采购活动，工程的施工单位全部为符合政策要求的中小企业(或者：服务全部由符合政策要求的中小企业承接)。相关企业(含联合体中的中小企业、签订分包意向协议的中小企业)的具体情况如下：</w:t>
      </w:r>
    </w:p>
    <w:p>
      <w:pPr>
        <w:widowControl/>
        <w:ind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1.(标的名称)，属于(采购文件中明确的所属行业)；承建(承接)企业为(企业名称)，从业人员    人，营业收入为    万元，资产总额为    万元，属于(中型企业、小型企业、微型企业)；</w:t>
      </w:r>
    </w:p>
    <w:p>
      <w:pPr>
        <w:widowControl/>
        <w:ind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2.(标的名称)，属于(采购文件中明确的所属行业)；承建(承接)企业为(企业名称)，从业人员    人，营业收入为    万元，资产总额为    万元，属于(中型企业、小型企业、微型企业)；</w:t>
      </w:r>
    </w:p>
    <w:p>
      <w:pPr>
        <w:widowControl/>
        <w:ind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w:t>
      </w:r>
    </w:p>
    <w:p>
      <w:pPr>
        <w:widowControl/>
        <w:ind w:firstLine="420" w:firstLineChars="200"/>
        <w:jc w:val="left"/>
        <w:rPr>
          <w:rFonts w:ascii="仿宋_GB2312" w:hAnsi="仿宋_GB2312" w:eastAsia="仿宋_GB2312" w:cs="仿宋_GB2312"/>
          <w:szCs w:val="21"/>
        </w:rPr>
      </w:pPr>
    </w:p>
    <w:p>
      <w:pPr>
        <w:widowControl/>
        <w:jc w:val="left"/>
        <w:rPr>
          <w:rFonts w:ascii="仿宋_GB2312" w:hAnsi="仿宋_GB2312" w:eastAsia="仿宋_GB2312" w:cs="仿宋_GB2312"/>
          <w:szCs w:val="21"/>
        </w:rPr>
      </w:pPr>
      <w:r>
        <w:rPr>
          <w:rFonts w:hint="eastAsia" w:ascii="仿宋_GB2312" w:hAnsi="仿宋_GB2312" w:eastAsia="仿宋_GB2312" w:cs="仿宋_GB2312"/>
          <w:szCs w:val="21"/>
        </w:rPr>
        <w:t>以上企业，不属于大企业的分支机构，不存在控股股东为大企业的情形，也不存在与大企业的负责人为同一人的情形。</w:t>
      </w:r>
    </w:p>
    <w:p>
      <w:pPr>
        <w:widowControl/>
        <w:jc w:val="left"/>
        <w:rPr>
          <w:rFonts w:ascii="仿宋_GB2312" w:hAnsi="仿宋_GB2312" w:eastAsia="仿宋_GB2312" w:cs="仿宋_GB2312"/>
          <w:szCs w:val="21"/>
        </w:rPr>
      </w:pPr>
    </w:p>
    <w:p>
      <w:pPr>
        <w:widowControl/>
        <w:jc w:val="left"/>
        <w:rPr>
          <w:rFonts w:ascii="仿宋_GB2312" w:hAnsi="仿宋_GB2312" w:eastAsia="仿宋_GB2312" w:cs="仿宋_GB2312"/>
          <w:szCs w:val="21"/>
        </w:rPr>
      </w:pPr>
      <w:r>
        <w:rPr>
          <w:rFonts w:hint="eastAsia" w:ascii="仿宋_GB2312" w:hAnsi="仿宋_GB2312" w:eastAsia="仿宋_GB2312" w:cs="仿宋_GB2312"/>
          <w:szCs w:val="21"/>
        </w:rPr>
        <w:t>本企业对上述声明内容的真实性负责。如有虚假，将依法承担相应责任。</w:t>
      </w:r>
    </w:p>
    <w:p>
      <w:pPr>
        <w:widowControl/>
        <w:jc w:val="left"/>
        <w:rPr>
          <w:rFonts w:ascii="仿宋_GB2312" w:hAnsi="仿宋_GB2312" w:eastAsia="仿宋_GB2312" w:cs="仿宋_GB2312"/>
          <w:szCs w:val="21"/>
        </w:rPr>
      </w:pPr>
    </w:p>
    <w:p>
      <w:pPr>
        <w:widowControl/>
        <w:jc w:val="left"/>
        <w:rPr>
          <w:rFonts w:ascii="仿宋_GB2312" w:hAnsi="仿宋_GB2312" w:eastAsia="仿宋_GB2312" w:cs="仿宋_GB2312"/>
          <w:szCs w:val="21"/>
        </w:rPr>
      </w:pPr>
    </w:p>
    <w:p>
      <w:pPr>
        <w:widowControl/>
        <w:jc w:val="left"/>
        <w:rPr>
          <w:rFonts w:ascii="仿宋_GB2312" w:hAnsi="仿宋_GB2312" w:eastAsia="仿宋_GB2312" w:cs="仿宋_GB2312"/>
          <w:szCs w:val="21"/>
        </w:rPr>
      </w:pPr>
    </w:p>
    <w:p>
      <w:pPr>
        <w:widowControl/>
        <w:jc w:val="left"/>
        <w:rPr>
          <w:rFonts w:ascii="仿宋_GB2312" w:hAnsi="仿宋_GB2312" w:eastAsia="仿宋_GB2312" w:cs="仿宋_GB2312"/>
          <w:szCs w:val="21"/>
        </w:rPr>
      </w:pPr>
    </w:p>
    <w:p>
      <w:pPr>
        <w:widowControl/>
        <w:jc w:val="left"/>
        <w:rPr>
          <w:rFonts w:ascii="仿宋_GB2312" w:hAnsi="仿宋_GB2312" w:eastAsia="仿宋_GB2312" w:cs="仿宋_GB2312"/>
          <w:szCs w:val="21"/>
        </w:rPr>
      </w:pPr>
    </w:p>
    <w:p>
      <w:pPr>
        <w:widowControl/>
        <w:jc w:val="left"/>
        <w:rPr>
          <w:rFonts w:ascii="仿宋_GB2312" w:hAnsi="仿宋_GB2312" w:eastAsia="仿宋_GB2312" w:cs="仿宋_GB2312"/>
          <w:szCs w:val="21"/>
        </w:rPr>
      </w:pPr>
    </w:p>
    <w:p>
      <w:pPr>
        <w:widowControl/>
        <w:jc w:val="left"/>
        <w:rPr>
          <w:rFonts w:ascii="仿宋_GB2312" w:hAnsi="仿宋_GB2312" w:eastAsia="仿宋_GB2312" w:cs="仿宋_GB2312"/>
          <w:szCs w:val="21"/>
        </w:rPr>
      </w:pPr>
    </w:p>
    <w:p>
      <w:pPr>
        <w:widowControl/>
        <w:ind w:right="960"/>
        <w:jc w:val="center"/>
        <w:rPr>
          <w:rFonts w:ascii="仿宋_GB2312" w:hAnsi="仿宋_GB2312" w:eastAsia="仿宋_GB2312" w:cs="仿宋_GB2312"/>
          <w:szCs w:val="21"/>
        </w:rPr>
      </w:pPr>
      <w:r>
        <w:rPr>
          <w:rFonts w:hint="eastAsia" w:ascii="仿宋_GB2312" w:hAnsi="仿宋_GB2312" w:eastAsia="仿宋_GB2312" w:cs="仿宋_GB2312"/>
          <w:szCs w:val="21"/>
        </w:rPr>
        <w:t xml:space="preserve">                                                   企业名称(盖章)：</w:t>
      </w:r>
    </w:p>
    <w:p>
      <w:pPr>
        <w:widowControl/>
        <w:jc w:val="center"/>
        <w:rPr>
          <w:rFonts w:ascii="仿宋_GB2312" w:hAnsi="仿宋_GB2312" w:eastAsia="仿宋_GB2312" w:cs="仿宋_GB2312"/>
          <w:szCs w:val="21"/>
        </w:rPr>
      </w:pPr>
      <w:r>
        <w:rPr>
          <w:rFonts w:hint="eastAsia" w:ascii="仿宋_GB2312" w:hAnsi="仿宋_GB2312" w:eastAsia="仿宋_GB2312" w:cs="仿宋_GB2312"/>
          <w:szCs w:val="21"/>
        </w:rPr>
        <w:t xml:space="preserve">                                       </w:t>
      </w:r>
    </w:p>
    <w:p>
      <w:pPr>
        <w:widowControl/>
        <w:jc w:val="center"/>
        <w:rPr>
          <w:rFonts w:ascii="仿宋_GB2312" w:hAnsi="仿宋_GB2312" w:eastAsia="仿宋_GB2312" w:cs="仿宋_GB2312"/>
          <w:szCs w:val="21"/>
        </w:rPr>
      </w:pPr>
      <w:r>
        <w:rPr>
          <w:rFonts w:hint="eastAsia" w:ascii="仿宋_GB2312" w:hAnsi="仿宋_GB2312" w:eastAsia="仿宋_GB2312" w:cs="仿宋_GB2312"/>
          <w:szCs w:val="21"/>
        </w:rPr>
        <w:t xml:space="preserve">                                                   日期：</w:t>
      </w:r>
    </w:p>
    <w:p>
      <w:pPr>
        <w:widowControl/>
        <w:jc w:val="left"/>
        <w:rPr>
          <w:rFonts w:ascii="宋体" w:hAnsi="宋体"/>
          <w:kern w:val="0"/>
          <w:sz w:val="28"/>
          <w:szCs w:val="28"/>
        </w:rPr>
      </w:pPr>
    </w:p>
    <w:p>
      <w:pPr>
        <w:widowControl/>
        <w:jc w:val="left"/>
        <w:rPr>
          <w:rFonts w:ascii="宋体" w:hAnsi="宋体"/>
          <w:kern w:val="0"/>
          <w:sz w:val="24"/>
          <w:szCs w:val="24"/>
        </w:rPr>
      </w:pPr>
    </w:p>
    <w:p>
      <w:pPr>
        <w:widowControl/>
        <w:jc w:val="left"/>
        <w:rPr>
          <w:rFonts w:ascii="宋体" w:hAnsi="宋体"/>
          <w:kern w:val="0"/>
          <w:sz w:val="24"/>
          <w:szCs w:val="24"/>
        </w:rPr>
      </w:pPr>
    </w:p>
    <w:p>
      <w:pPr>
        <w:widowControl/>
        <w:jc w:val="left"/>
        <w:rPr>
          <w:rFonts w:ascii="宋体" w:hAnsi="宋体"/>
          <w:kern w:val="0"/>
          <w:sz w:val="24"/>
          <w:szCs w:val="24"/>
        </w:rPr>
      </w:pPr>
    </w:p>
    <w:p>
      <w:pPr>
        <w:widowControl/>
        <w:ind w:firstLine="420" w:firstLineChars="200"/>
        <w:jc w:val="left"/>
        <w:rPr>
          <w:rFonts w:ascii="仿宋_GB2312" w:hAnsi="仿宋_GB2312" w:eastAsia="仿宋_GB2312" w:cs="仿宋_GB2312"/>
          <w:szCs w:val="21"/>
        </w:rPr>
      </w:pPr>
      <w:r>
        <w:rPr>
          <w:rFonts w:hint="eastAsia" w:ascii="仿宋_GB2312" w:hAnsi="仿宋_GB2312" w:eastAsia="仿宋_GB2312" w:cs="仿宋_GB2312"/>
          <w:kern w:val="2"/>
          <w:sz w:val="21"/>
          <w:szCs w:val="21"/>
          <w:lang w:eastAsia="zh-CN"/>
        </w:rPr>
        <mc:AlternateContent>
          <mc:Choice Requires="wps">
            <w:drawing>
              <wp:anchor distT="0" distB="0" distL="114300" distR="114300" simplePos="0" relativeHeight="251660288" behindDoc="0" locked="0" layoutInCell="1" allowOverlap="1">
                <wp:simplePos x="0" y="0"/>
                <wp:positionH relativeFrom="column">
                  <wp:posOffset>36830</wp:posOffset>
                </wp:positionH>
                <wp:positionV relativeFrom="paragraph">
                  <wp:posOffset>118110</wp:posOffset>
                </wp:positionV>
                <wp:extent cx="2375535" cy="0"/>
                <wp:effectExtent l="0" t="0" r="0" b="0"/>
                <wp:wrapNone/>
                <wp:docPr id="2" name="_x0000_s1026"/>
                <wp:cNvGraphicFramePr/>
                <a:graphic xmlns:a="http://schemas.openxmlformats.org/drawingml/2006/main">
                  <a:graphicData uri="http://schemas.microsoft.com/office/word/2010/wordprocessingShape">
                    <wps:wsp>
                      <wps:cNvCnPr/>
                      <wps:spPr>
                        <a:xfrm>
                          <a:off x="0" y="0"/>
                          <a:ext cx="2375535" cy="0"/>
                        </a:xfrm>
                        <a:prstGeom prst="line">
                          <a:avLst/>
                        </a:prstGeom>
                        <a:ln w="9525" cap="flat" cmpd="sng">
                          <a:solidFill>
                            <a:srgbClr val="000000"/>
                          </a:solidFill>
                          <a:prstDash val="solid"/>
                          <a:round/>
                          <a:headEnd type="none" w="med" len="med"/>
                          <a:tailEnd type="none" w="med" len="med"/>
                        </a:ln>
                      </wps:spPr>
                      <wps:bodyPr upright="1"/>
                    </wps:wsp>
                  </a:graphicData>
                </a:graphic>
              </wp:anchor>
            </w:drawing>
          </mc:Choice>
          <mc:Fallback>
            <w:pict>
              <v:line id="_x0000_s1026" o:spid="_x0000_s1026" o:spt="20" style="position:absolute;left:0pt;margin-left:2.9pt;margin-top:9.3pt;height:0pt;width:187.05pt;z-index:251660288;mso-width-relative:page;mso-height-relative:page;" filled="f" stroked="t" coordsize="21600,21600" o:gfxdata="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LM6FXTTAAAABwEA&#10;AA8AAAAAAAAAAQAgAAAAIgAAAGRycy9kb3ducmV2LnhtbFBLAQIUABQAAAAIAIdO4kAopaYU5gEA&#10;AOkDAAAOAAAAAAAAAAEAIAAAACIBAABkcnMvZTJvRG9jLnhtbFBLBQYAAAAABgAGAFkBAAB6BQAA&#10;AAA=&#10;">
                <v:fill on="f" focussize="0,0"/>
                <v:stroke color="#000000" joinstyle="round"/>
                <v:imagedata o:title=""/>
                <o:lock v:ext="edit" aspectratio="f"/>
              </v:line>
            </w:pict>
          </mc:Fallback>
        </mc:AlternateContent>
      </w:r>
    </w:p>
    <w:p>
      <w:pPr>
        <w:widowControl/>
        <w:ind w:firstLine="420" w:firstLineChars="200"/>
        <w:jc w:val="left"/>
        <w:rPr>
          <w:rFonts w:ascii="仿宋_GB2312" w:hAnsi="仿宋_GB2312" w:eastAsia="仿宋_GB2312" w:cs="仿宋_GB2312"/>
          <w:szCs w:val="21"/>
        </w:rPr>
      </w:pPr>
      <w:r>
        <w:rPr>
          <w:rFonts w:hint="eastAsia" w:ascii="仿宋_GB2312" w:hAnsi="仿宋_GB2312" w:eastAsia="仿宋_GB2312" w:cs="仿宋_GB2312"/>
          <w:szCs w:val="21"/>
        </w:rPr>
        <w:t>1从业人员、营业收入、资产总额填报上一年度数据，无上一年度数据的新成立企业可不填报。</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二十一、残疾人福利性单位声明函</w:t>
      </w:r>
    </w:p>
    <w:p>
      <w:pPr>
        <w:adjustRightInd w:val="0"/>
        <w:snapToGrid w:val="0"/>
        <w:spacing w:before="319" w:beforeLines="100" w:after="319" w:afterLines="100" w:line="360" w:lineRule="auto"/>
        <w:ind w:right="105" w:rightChars="50"/>
        <w:jc w:val="cente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残疾人福利性单位声明函</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本单位郑重声明，根据《财政部 民政部 中国残疾人联合会关于促进残疾人就业政府采购政策的通知》（财库〔2017〕141 号）的规定，本单位为符合条件的残疾人福利性单位，且本单位参加</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单位的</w:t>
      </w:r>
      <w:r>
        <w:rPr>
          <w:rFonts w:hint="eastAsia" w:ascii="仿宋_GB2312" w:hAnsi="仿宋_GB2312" w:eastAsia="仿宋_GB2312" w:cs="仿宋_GB2312"/>
          <w:szCs w:val="21"/>
          <w:u w:val="single"/>
        </w:rPr>
        <w:t xml:space="preserve">     </w:t>
      </w:r>
      <w:r>
        <w:rPr>
          <w:rFonts w:hint="eastAsia" w:ascii="仿宋_GB2312" w:hAnsi="仿宋_GB2312" w:eastAsia="仿宋_GB2312" w:cs="仿宋_GB2312"/>
          <w:szCs w:val="21"/>
        </w:rPr>
        <w:t>项目采购活动，提供本单位制造的货物（由本单位承担工程/提供服务），或者提供其他残疾人福利性单位制造的货物（不包括使用非残疾人福利性单位注册商标的货物）。</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本单位对上述声明的真实性负责。如有虚假，将依法承担相应责任。</w:t>
      </w: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spacing w:line="360" w:lineRule="auto"/>
        <w:ind w:right="105" w:rightChars="50" w:firstLine="476" w:firstLineChars="227"/>
        <w:jc w:val="left"/>
        <w:rPr>
          <w:rFonts w:ascii="仿宋_GB2312" w:hAnsi="仿宋_GB2312" w:eastAsia="仿宋_GB2312" w:cs="仿宋_GB2312"/>
          <w:szCs w:val="21"/>
        </w:rPr>
      </w:pPr>
    </w:p>
    <w:p>
      <w:pPr>
        <w:adjustRightInd w:val="0"/>
        <w:snapToGrid w:val="0"/>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注：供应商为非残疾人福利性单位的，无需填写此声明函。</w:t>
      </w:r>
    </w:p>
    <w:p>
      <w:pPr>
        <w:adjustRightInd w:val="0"/>
        <w:snapToGrid w:val="0"/>
        <w:ind w:right="105" w:rightChars="50" w:firstLine="476" w:firstLineChars="227"/>
        <w:jc w:val="left"/>
        <w:rPr>
          <w:rFonts w:ascii="仿宋_GB2312" w:hAnsi="仿宋_GB2312" w:eastAsia="仿宋_GB2312" w:cs="仿宋_GB2312"/>
          <w:szCs w:val="21"/>
        </w:rPr>
      </w:pPr>
      <w:r>
        <w:rPr>
          <w:rFonts w:hint="eastAsia" w:ascii="仿宋_GB2312" w:hAnsi="仿宋_GB2312" w:eastAsia="仿宋_GB2312" w:cs="仿宋_GB2312"/>
          <w:szCs w:val="21"/>
        </w:rPr>
        <w:t xml:space="preserve">  </w:t>
      </w: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360" w:lineRule="auto"/>
        <w:ind w:right="105" w:rightChars="50"/>
        <w:jc w:val="left"/>
        <w:rPr>
          <w:rFonts w:ascii="仿宋_GB2312" w:hAnsi="仿宋_GB2312" w:eastAsia="仿宋_GB2312" w:cs="仿宋_GB2312"/>
          <w:szCs w:val="21"/>
        </w:rPr>
      </w:pPr>
    </w:p>
    <w:p>
      <w:pPr>
        <w:adjustRightInd w:val="0"/>
        <w:snapToGrid w:val="0"/>
        <w:spacing w:line="480" w:lineRule="auto"/>
        <w:ind w:right="105" w:rightChars="50"/>
        <w:jc w:val="left"/>
        <w:rPr>
          <w:rFonts w:ascii="仿宋_GB2312" w:hAnsi="仿宋_GB2312" w:eastAsia="仿宋_GB2312" w:cs="仿宋_GB2312"/>
          <w:szCs w:val="21"/>
        </w:rPr>
      </w:pPr>
      <w:r>
        <w:rPr>
          <w:rFonts w:hint="eastAsia" w:ascii="仿宋_GB2312" w:hAnsi="仿宋_GB2312" w:eastAsia="仿宋_GB2312" w:cs="仿宋_GB2312"/>
          <w:szCs w:val="21"/>
        </w:rPr>
        <w:t>投标人名称（加盖单位公章）：</w:t>
      </w:r>
      <w:r>
        <w:rPr>
          <w:rFonts w:hint="eastAsia" w:ascii="仿宋_GB2312" w:hAnsi="仿宋_GB2312" w:eastAsia="仿宋_GB2312" w:cs="仿宋_GB2312"/>
          <w:szCs w:val="21"/>
          <w:u w:val="single"/>
        </w:rPr>
        <w:t xml:space="preserve">              </w:t>
      </w:r>
    </w:p>
    <w:p>
      <w:r>
        <w:rPr>
          <w:rFonts w:hint="eastAsia" w:ascii="仿宋_GB2312" w:hAnsi="仿宋_GB2312" w:eastAsia="仿宋_GB2312" w:cs="仿宋_GB2312"/>
          <w:szCs w:val="21"/>
        </w:rPr>
        <w:t>日 期：</w:t>
      </w:r>
      <w:r>
        <w:rPr>
          <w:rFonts w:hint="eastAsia" w:ascii="仿宋_GB2312" w:hAnsi="仿宋_GB2312" w:eastAsia="仿宋_GB2312" w:cs="仿宋_GB2312"/>
          <w:szCs w:val="21"/>
          <w:u w:val="single"/>
        </w:rPr>
        <w:t xml:space="preserve">              </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二十二、列入《创新产品和服务目录》内的产品、服务的证明材料</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二十三、评分细则中技术部分需提供的相关证明材料</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二十四、评分细则中商务部分需提供的相关证明材料</w:t>
      </w:r>
    </w:p>
    <w:p>
      <w:pPr>
        <w:widowControl/>
        <w:jc w:val="left"/>
        <w:rPr>
          <w:rFonts w:ascii="仿宋" w:hAnsi="仿宋" w:eastAsia="仿宋" w:cs="仿宋"/>
          <w:kern w:val="0"/>
          <w:sz w:val="24"/>
          <w:szCs w:val="24"/>
          <w:lang w:eastAsia="en-US"/>
        </w:rPr>
      </w:pPr>
      <w:r>
        <w:rPr>
          <w:rFonts w:ascii="Times New Roman" w:hAnsi="Times New Roman" w:eastAsia="Times New Roman"/>
          <w:kern w:val="0"/>
          <w:sz w:val="24"/>
          <w:szCs w:val="24"/>
          <w:lang w:eastAsia="en-US"/>
        </w:rPr>
        <w:br w:type="page"/>
      </w:r>
      <w:r>
        <w:rPr>
          <w:rFonts w:ascii="仿宋" w:hAnsi="仿宋" w:eastAsia="仿宋" w:cs="仿宋"/>
          <w:kern w:val="0"/>
          <w:sz w:val="24"/>
          <w:szCs w:val="24"/>
          <w:lang w:eastAsia="en-US"/>
        </w:rPr>
        <w:t>二十五、采购文件要求的以及供应商认为需要提供的其它证明材料</w:t>
      </w:r>
    </w:p>
    <w:p>
      <w:pPr>
        <w:rPr>
          <w:rFonts w:hint="eastAsia"/>
          <w:color w:val="000080"/>
          <w:sz w:val="20"/>
          <w:highlight w:val="white"/>
        </w:rPr>
      </w:pPr>
      <w:r>
        <w:rPr>
          <w:rFonts w:hint="eastAsia"/>
          <w:color w:val="000080"/>
          <w:sz w:val="20"/>
          <w:highlight w:val="white"/>
        </w:rPr>
        <w:t xml:space="preserve"> </w:t>
      </w:r>
      <w:bookmarkEnd w:id="66"/>
    </w:p>
    <w:p>
      <w:pPr>
        <w:rPr>
          <w:highlight w:val="magenta"/>
        </w:rPr>
      </w:pPr>
      <w:bookmarkStart w:id="68" w:name="EB365e6dba0591407c8e1e7f5561614975"/>
      <w:bookmarkEnd w:id="68"/>
    </w:p>
    <w:p>
      <w:pPr>
        <w:pStyle w:val="2"/>
        <w:keepNext w:val="0"/>
        <w:keepLines w:val="0"/>
        <w:pageBreakBefore/>
        <w:snapToGrid w:val="0"/>
        <w:spacing w:before="0" w:after="0"/>
        <w:rPr>
          <w:rFonts w:ascii="仿宋_GB2312" w:hAnsi="仿宋_GB2312" w:eastAsia="仿宋_GB2312" w:cs="仿宋_GB2312"/>
        </w:rPr>
      </w:pPr>
      <w:bookmarkStart w:id="69" w:name="_Toc256000002"/>
      <w:r>
        <w:rPr>
          <w:rFonts w:hint="eastAsia" w:ascii="仿宋_GB2312" w:hAnsi="仿宋_GB2312" w:eastAsia="仿宋_GB2312" w:cs="仿宋_GB2312"/>
          <w:highlight w:val="white"/>
        </w:rPr>
        <w:t>第三章 服务需求</w:t>
      </w:r>
      <w:bookmarkEnd w:id="69"/>
    </w:p>
    <w:p>
      <w:pPr>
        <w:rPr>
          <w:rFonts w:hint="eastAsia"/>
          <w:highlight w:val="red"/>
        </w:rPr>
        <w:sectPr>
          <w:footerReference r:id="rId3" w:type="default"/>
          <w:pgSz w:w="11906" w:h="16838"/>
          <w:pgMar w:top="1440" w:right="1803" w:bottom="1440" w:left="1803" w:header="851" w:footer="992" w:gutter="0"/>
          <w:cols w:space="720" w:num="1"/>
          <w:docGrid w:type="linesAndChars" w:linePitch="319" w:charSpace="0"/>
        </w:sectPr>
      </w:pPr>
    </w:p>
    <w:p>
      <w:pPr>
        <w:adjustRightInd w:val="0"/>
        <w:snapToGrid w:val="0"/>
        <w:spacing w:line="360" w:lineRule="auto"/>
        <w:ind w:right="105" w:rightChars="50"/>
        <w:jc w:val="left"/>
        <w:rPr>
          <w:rFonts w:ascii="宋体" w:hAnsi="宋体" w:cs="Courier New"/>
          <w:b/>
          <w:color w:val="000000"/>
          <w:szCs w:val="21"/>
        </w:rPr>
      </w:pPr>
    </w:p>
    <w:p>
      <w:pPr>
        <w:adjustRightInd w:val="0"/>
        <w:snapToGrid w:val="0"/>
        <w:spacing w:line="360" w:lineRule="auto"/>
        <w:ind w:right="105" w:rightChars="50"/>
        <w:jc w:val="center"/>
        <w:rPr>
          <w:rFonts w:ascii="宋体" w:hAnsi="宋体" w:cs="Courier New"/>
          <w:b/>
          <w:color w:val="000000"/>
          <w:szCs w:val="21"/>
        </w:rPr>
      </w:pPr>
      <w:r>
        <w:rPr>
          <w:rFonts w:hint="eastAsia" w:ascii="宋体" w:hAnsi="宋体" w:cs="Courier New"/>
          <w:b/>
          <w:color w:val="000000"/>
          <w:szCs w:val="21"/>
        </w:rPr>
        <w:t>商务条款偏离表</w:t>
      </w:r>
    </w:p>
    <w:p>
      <w:pPr>
        <w:adjustRightInd w:val="0"/>
        <w:snapToGrid w:val="0"/>
        <w:spacing w:line="360" w:lineRule="auto"/>
        <w:ind w:right="105" w:rightChars="50"/>
        <w:jc w:val="left"/>
        <w:rPr>
          <w:rFonts w:ascii="宋体" w:hAnsi="宋体" w:cs="Courier New"/>
          <w:b/>
          <w:color w:val="000000"/>
          <w:szCs w:val="21"/>
        </w:rPr>
      </w:pPr>
      <w:r>
        <w:rPr>
          <w:rFonts w:hint="eastAsia" w:ascii="宋体" w:hAnsi="宋体" w:cs="Courier New"/>
          <w:b/>
          <w:color w:val="000000"/>
          <w:szCs w:val="21"/>
        </w:rPr>
        <w:t>【注:请使用给定模板按要求进行需求填写，勿私自调换模板】</w:t>
      </w:r>
    </w:p>
    <w:tbl>
      <w:tblPr>
        <w:tblStyle w:val="20"/>
        <w:tblW w:w="85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1879"/>
        <w:gridCol w:w="1879"/>
        <w:gridCol w:w="2359"/>
        <w:gridCol w:w="1003"/>
        <w:gridCol w:w="8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47" w:type="dxa"/>
            <w:noWrap w:val="0"/>
            <w:vAlign w:val="center"/>
          </w:tcPr>
          <w:p>
            <w:pPr>
              <w:widowControl w:val="0"/>
              <w:adjustRightInd w:val="0"/>
              <w:snapToGrid w:val="0"/>
              <w:ind w:right="-48" w:rightChars="-23"/>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包号</w:t>
            </w:r>
          </w:p>
        </w:tc>
        <w:tc>
          <w:tcPr>
            <w:tcW w:w="8013" w:type="dxa"/>
            <w:gridSpan w:val="5"/>
            <w:noWrap w:val="0"/>
            <w:vAlign w:val="center"/>
          </w:tcPr>
          <w:p>
            <w:pPr>
              <w:widowControl w:val="0"/>
              <w:adjustRightInd w:val="0"/>
              <w:snapToGrid w:val="0"/>
              <w:ind w:left="-59" w:leftChars="-28" w:right="-105" w:rightChars="-50"/>
              <w:jc w:val="both"/>
              <w:rPr>
                <w:rFonts w:ascii="仿宋_GB2312" w:hAnsi="仿宋_GB2312" w:eastAsia="仿宋_GB2312" w:cs="仿宋_GB2312"/>
                <w:color w:val="FF0000"/>
                <w:kern w:val="2"/>
                <w:sz w:val="21"/>
                <w:szCs w:val="21"/>
                <w:lang w:val="en-US" w:eastAsia="zh-CN" w:bidi="ar-SA"/>
              </w:rPr>
            </w:pPr>
            <w:r>
              <w:rPr>
                <w:rFonts w:ascii="仿宋_GB2312" w:hAnsi="仿宋_GB2312" w:eastAsia="仿宋_GB2312" w:cs="仿宋_GB2312"/>
                <w:kern w:val="2"/>
                <w:sz w:val="21"/>
                <w:szCs w:val="21"/>
                <w:lang w:val="en-US" w:eastAsia="zh-CN" w:bidi="ar-SA"/>
              </w:rPr>
              <w:t>1</w:t>
            </w:r>
            <w:r>
              <w:rPr>
                <w:rFonts w:hint="eastAsia" w:ascii="仿宋_GB2312" w:hAnsi="仿宋_GB2312" w:eastAsia="仿宋_GB2312" w:cs="仿宋_GB2312"/>
                <w:kern w:val="2"/>
                <w:sz w:val="21"/>
                <w:szCs w:val="21"/>
                <w:lang w:val="en-US" w:eastAsia="zh-CN" w:bidi="ar-SA"/>
              </w:rPr>
              <w:t>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547" w:type="dxa"/>
            <w:noWrap w:val="0"/>
            <w:vAlign w:val="center"/>
          </w:tcPr>
          <w:p>
            <w:pPr>
              <w:widowControl w:val="0"/>
              <w:adjustRightInd w:val="0"/>
              <w:snapToGrid w:val="0"/>
              <w:ind w:right="-48" w:rightChars="-23"/>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序号</w:t>
            </w:r>
          </w:p>
        </w:tc>
        <w:tc>
          <w:tcPr>
            <w:tcW w:w="3758" w:type="dxa"/>
            <w:gridSpan w:val="2"/>
            <w:noWrap w:val="0"/>
            <w:vAlign w:val="center"/>
          </w:tcPr>
          <w:p>
            <w:pPr>
              <w:widowControl w:val="0"/>
              <w:adjustRightInd w:val="0"/>
              <w:snapToGrid w:val="0"/>
              <w:ind w:right="-73" w:rightChars="-35"/>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招标文件的商务条款</w:t>
            </w:r>
          </w:p>
          <w:p>
            <w:pPr>
              <w:widowControl w:val="0"/>
              <w:adjustRightInd w:val="0"/>
              <w:snapToGrid w:val="0"/>
              <w:ind w:right="-73" w:rightChars="-35"/>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w:t>
            </w:r>
            <w:r>
              <w:rPr>
                <w:rFonts w:hint="eastAsia" w:ascii="仿宋_GB2312" w:hAnsi="仿宋_GB2312" w:eastAsia="仿宋_GB2312" w:cs="仿宋_GB2312"/>
                <w:b/>
                <w:kern w:val="2"/>
                <w:sz w:val="18"/>
                <w:szCs w:val="18"/>
                <w:lang w:val="en-US" w:eastAsia="zh-CN" w:bidi="ar-SA"/>
              </w:rPr>
              <w:t>实质性要求及重要指标用★标注，★标注项不得负偏离，如果负偏离，则投标文件无效。</w:t>
            </w:r>
            <w:r>
              <w:rPr>
                <w:rFonts w:hint="eastAsia" w:ascii="仿宋_GB2312" w:hAnsi="仿宋_GB2312" w:eastAsia="仿宋_GB2312" w:cs="仿宋_GB2312"/>
                <w:kern w:val="2"/>
                <w:sz w:val="21"/>
                <w:szCs w:val="21"/>
                <w:lang w:val="en-US" w:eastAsia="zh-CN" w:bidi="ar-SA"/>
              </w:rPr>
              <w:t>）</w:t>
            </w:r>
          </w:p>
        </w:tc>
        <w:tc>
          <w:tcPr>
            <w:tcW w:w="2359" w:type="dxa"/>
            <w:noWrap w:val="0"/>
            <w:vAlign w:val="center"/>
          </w:tcPr>
          <w:p>
            <w:pPr>
              <w:widowControl w:val="0"/>
              <w:adjustRightInd w:val="0"/>
              <w:snapToGrid w:val="0"/>
              <w:ind w:right="-107" w:rightChars="-51"/>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投标文件响应内容</w:t>
            </w:r>
          </w:p>
        </w:tc>
        <w:tc>
          <w:tcPr>
            <w:tcW w:w="1003" w:type="dxa"/>
            <w:noWrap w:val="0"/>
            <w:vAlign w:val="center"/>
          </w:tcPr>
          <w:p>
            <w:pPr>
              <w:widowControl w:val="0"/>
              <w:adjustRightInd w:val="0"/>
              <w:snapToGrid w:val="0"/>
              <w:ind w:left="-59" w:leftChars="-28" w:right="-105" w:rightChars="-5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偏离程度</w:t>
            </w:r>
          </w:p>
        </w:tc>
        <w:tc>
          <w:tcPr>
            <w:tcW w:w="893" w:type="dxa"/>
            <w:noWrap w:val="0"/>
            <w:vAlign w:val="center"/>
          </w:tcPr>
          <w:p>
            <w:pPr>
              <w:widowControl w:val="0"/>
              <w:adjustRightInd w:val="0"/>
              <w:snapToGrid w:val="0"/>
              <w:ind w:left="-59" w:leftChars="-28" w:right="-105" w:rightChars="-5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547"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w:t>
            </w:r>
          </w:p>
        </w:tc>
        <w:tc>
          <w:tcPr>
            <w:tcW w:w="1879" w:type="dxa"/>
            <w:noWrap w:val="0"/>
            <w:vAlign w:val="center"/>
          </w:tcPr>
          <w:p>
            <w:pPr>
              <w:widowControl w:val="0"/>
              <w:adjustRightInd w:val="0"/>
              <w:snapToGrid w:val="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b/>
                <w:kern w:val="2"/>
                <w:sz w:val="18"/>
                <w:szCs w:val="18"/>
                <w:lang w:val="en-US" w:eastAsia="zh-CN" w:bidi="ar-SA"/>
              </w:rPr>
              <w:t>★</w:t>
            </w:r>
            <w:r>
              <w:rPr>
                <w:rFonts w:hint="eastAsia" w:ascii="仿宋_GB2312" w:hAnsi="仿宋_GB2312" w:eastAsia="仿宋_GB2312" w:cs="仿宋_GB2312"/>
                <w:kern w:val="2"/>
                <w:sz w:val="21"/>
                <w:szCs w:val="21"/>
                <w:lang w:val="en-US" w:eastAsia="zh-CN" w:bidi="ar-SA"/>
              </w:rPr>
              <w:t>履约期限：</w:t>
            </w:r>
          </w:p>
        </w:tc>
        <w:tc>
          <w:tcPr>
            <w:tcW w:w="1879" w:type="dxa"/>
            <w:noWrap w:val="0"/>
            <w:vAlign w:val="center"/>
          </w:tcPr>
          <w:p>
            <w:pPr>
              <w:widowControl w:val="0"/>
              <w:adjustRightInd w:val="0"/>
              <w:snapToGrid w:val="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本项目合同期为自合同签订之日起一个月内完成</w:t>
            </w:r>
          </w:p>
        </w:tc>
        <w:tc>
          <w:tcPr>
            <w:tcW w:w="2359"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1003"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893"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547"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w:t>
            </w:r>
          </w:p>
        </w:tc>
        <w:tc>
          <w:tcPr>
            <w:tcW w:w="1879" w:type="dxa"/>
            <w:noWrap w:val="0"/>
            <w:vAlign w:val="center"/>
          </w:tcPr>
          <w:p>
            <w:pPr>
              <w:widowControl w:val="0"/>
              <w:adjustRightInd w:val="0"/>
              <w:snapToGrid w:val="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b/>
                <w:kern w:val="2"/>
                <w:sz w:val="18"/>
                <w:szCs w:val="18"/>
                <w:lang w:val="en-US" w:eastAsia="zh-CN" w:bidi="ar-SA"/>
              </w:rPr>
              <w:t>★</w:t>
            </w:r>
            <w:r>
              <w:rPr>
                <w:rFonts w:hint="eastAsia" w:ascii="仿宋_GB2312" w:hAnsi="仿宋_GB2312" w:eastAsia="仿宋_GB2312" w:cs="仿宋_GB2312"/>
                <w:kern w:val="2"/>
                <w:sz w:val="21"/>
                <w:szCs w:val="21"/>
                <w:lang w:val="en-US" w:eastAsia="zh-CN" w:bidi="ar-SA"/>
              </w:rPr>
              <w:t>履约地点：</w:t>
            </w:r>
          </w:p>
        </w:tc>
        <w:tc>
          <w:tcPr>
            <w:tcW w:w="1879" w:type="dxa"/>
            <w:noWrap w:val="0"/>
            <w:vAlign w:val="center"/>
          </w:tcPr>
          <w:p>
            <w:pPr>
              <w:widowControl w:val="0"/>
              <w:adjustRightInd w:val="0"/>
              <w:snapToGrid w:val="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国家税务总局</w:t>
            </w:r>
            <w:r>
              <w:rPr>
                <w:rFonts w:ascii="仿宋_GB2312" w:hAnsi="仿宋_GB2312" w:eastAsia="仿宋_GB2312" w:cs="仿宋_GB2312"/>
                <w:kern w:val="2"/>
                <w:sz w:val="21"/>
                <w:szCs w:val="21"/>
                <w:lang w:val="en-US" w:eastAsia="zh-CN" w:bidi="ar-SA"/>
              </w:rPr>
              <w:t>辽宁省税务局</w:t>
            </w:r>
          </w:p>
        </w:tc>
        <w:tc>
          <w:tcPr>
            <w:tcW w:w="2359"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1003"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893"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547"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w:t>
            </w:r>
          </w:p>
        </w:tc>
        <w:tc>
          <w:tcPr>
            <w:tcW w:w="1879" w:type="dxa"/>
            <w:noWrap w:val="0"/>
            <w:vAlign w:val="center"/>
          </w:tcPr>
          <w:p>
            <w:pPr>
              <w:widowControl w:val="0"/>
              <w:adjustRightInd w:val="0"/>
              <w:snapToGrid w:val="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b/>
                <w:kern w:val="2"/>
                <w:sz w:val="18"/>
                <w:szCs w:val="18"/>
                <w:lang w:val="en-US" w:eastAsia="zh-CN" w:bidi="ar-SA"/>
              </w:rPr>
              <w:t>★</w:t>
            </w:r>
            <w:r>
              <w:rPr>
                <w:rFonts w:hint="eastAsia" w:ascii="仿宋_GB2312" w:hAnsi="仿宋_GB2312" w:eastAsia="仿宋_GB2312" w:cs="仿宋_GB2312"/>
                <w:kern w:val="2"/>
                <w:sz w:val="21"/>
                <w:szCs w:val="21"/>
                <w:lang w:val="en-US" w:eastAsia="zh-CN" w:bidi="ar-SA"/>
              </w:rPr>
              <w:t>付款方式及条件：</w:t>
            </w:r>
          </w:p>
        </w:tc>
        <w:tc>
          <w:tcPr>
            <w:tcW w:w="1879" w:type="dxa"/>
            <w:noWrap w:val="0"/>
            <w:vAlign w:val="center"/>
          </w:tcPr>
          <w:p>
            <w:pPr>
              <w:widowControl w:val="0"/>
              <w:adjustRightInd w:val="0"/>
              <w:snapToGrid w:val="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2024年辽宁省电子税务局</w:t>
            </w:r>
            <w:r>
              <w:rPr>
                <w:rFonts w:hint="eastAsia" w:ascii="仿宋_GB2312" w:hAnsi="仿宋_GB2312" w:eastAsia="仿宋_GB2312" w:cs="仿宋_GB2312"/>
                <w:kern w:val="2"/>
                <w:sz w:val="21"/>
                <w:szCs w:val="21"/>
                <w:lang w:val="en" w:eastAsia="zh-CN" w:bidi="ar-SA"/>
              </w:rPr>
              <w:t>优化升级改造完成，系统运行平稳，经</w:t>
            </w:r>
            <w:r>
              <w:rPr>
                <w:rFonts w:hint="eastAsia" w:ascii="仿宋_GB2312" w:hAnsi="仿宋_GB2312" w:eastAsia="仿宋_GB2312" w:cs="仿宋_GB2312"/>
                <w:kern w:val="2"/>
                <w:sz w:val="21"/>
                <w:szCs w:val="21"/>
                <w:lang w:val="en-US" w:eastAsia="zh-CN" w:bidi="ar-SA"/>
              </w:rPr>
              <w:t>采购人</w:t>
            </w:r>
            <w:r>
              <w:rPr>
                <w:rFonts w:hint="eastAsia" w:ascii="仿宋_GB2312" w:hAnsi="仿宋_GB2312" w:eastAsia="仿宋_GB2312" w:cs="仿宋_GB2312"/>
                <w:kern w:val="2"/>
                <w:sz w:val="21"/>
                <w:szCs w:val="21"/>
                <w:lang w:val="en" w:eastAsia="zh-CN" w:bidi="ar-SA"/>
              </w:rPr>
              <w:t>初步验收合格后，</w:t>
            </w:r>
            <w:r>
              <w:rPr>
                <w:rFonts w:hint="eastAsia" w:ascii="仿宋_GB2312" w:hAnsi="仿宋_GB2312" w:eastAsia="仿宋_GB2312" w:cs="仿宋_GB2312"/>
                <w:kern w:val="2"/>
                <w:sz w:val="21"/>
                <w:szCs w:val="21"/>
                <w:lang w:val="en-US" w:eastAsia="zh-CN" w:bidi="ar-SA"/>
              </w:rPr>
              <w:t>支付30%合同价款；试运行6个月后，</w:t>
            </w:r>
            <w:r>
              <w:rPr>
                <w:rFonts w:hint="eastAsia" w:ascii="仿宋_GB2312" w:hAnsi="仿宋_GB2312" w:eastAsia="仿宋_GB2312" w:cs="仿宋_GB2312"/>
                <w:kern w:val="2"/>
                <w:sz w:val="21"/>
                <w:szCs w:val="21"/>
                <w:lang w:val="en" w:eastAsia="zh-CN" w:bidi="ar-SA"/>
              </w:rPr>
              <w:t>系统运行平稳，</w:t>
            </w:r>
            <w:r>
              <w:rPr>
                <w:rFonts w:hint="eastAsia" w:ascii="仿宋_GB2312" w:hAnsi="仿宋_GB2312" w:eastAsia="仿宋_GB2312" w:cs="仿宋_GB2312"/>
                <w:kern w:val="2"/>
                <w:sz w:val="21"/>
                <w:szCs w:val="21"/>
                <w:lang w:val="en-US" w:eastAsia="zh-CN" w:bidi="ar-SA"/>
              </w:rPr>
              <w:t>支付剩余合同价款（无息）。</w:t>
            </w:r>
          </w:p>
        </w:tc>
        <w:tc>
          <w:tcPr>
            <w:tcW w:w="2359"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1003"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893" w:type="dxa"/>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547" w:type="dxa"/>
            <w:vMerge w:val="restart"/>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w:t>
            </w:r>
          </w:p>
        </w:tc>
        <w:tc>
          <w:tcPr>
            <w:tcW w:w="1879" w:type="dxa"/>
            <w:noWrap w:val="0"/>
            <w:vAlign w:val="center"/>
          </w:tcPr>
          <w:p>
            <w:pPr>
              <w:widowControl w:val="0"/>
              <w:adjustRightInd w:val="0"/>
              <w:snapToGrid w:val="0"/>
              <w:jc w:val="both"/>
              <w:rPr>
                <w:rFonts w:ascii="Calibri" w:hAnsi="Calibri" w:eastAsia="仿宋" w:cs="Calibri"/>
                <w:kern w:val="2"/>
                <w:sz w:val="21"/>
                <w:szCs w:val="24"/>
                <w:lang w:val="en-US" w:eastAsia="zh-CN" w:bidi="ar-SA"/>
              </w:rPr>
            </w:pPr>
            <w:r>
              <w:rPr>
                <w:rFonts w:hint="eastAsia" w:ascii="仿宋_GB2312" w:hAnsi="仿宋_GB2312" w:eastAsia="仿宋_GB2312" w:cs="仿宋_GB2312"/>
                <w:b/>
                <w:kern w:val="2"/>
                <w:sz w:val="18"/>
                <w:szCs w:val="18"/>
                <w:lang w:val="en-US" w:eastAsia="zh-CN" w:bidi="ar-SA"/>
              </w:rPr>
              <w:t>★</w:t>
            </w:r>
            <w:r>
              <w:rPr>
                <w:rFonts w:hint="eastAsia" w:ascii="Calibri" w:hAnsi="Calibri" w:eastAsia="仿宋" w:cs="Calibri"/>
                <w:kern w:val="2"/>
                <w:sz w:val="21"/>
                <w:szCs w:val="24"/>
                <w:lang w:val="en-US" w:eastAsia="zh-CN" w:bidi="ar-SA"/>
              </w:rPr>
              <w:t>验收要求：</w:t>
            </w:r>
          </w:p>
          <w:p>
            <w:pPr>
              <w:widowControl w:val="0"/>
              <w:adjustRightInd w:val="0"/>
              <w:snapToGrid w:val="0"/>
              <w:jc w:val="both"/>
              <w:rPr>
                <w:rFonts w:ascii="Calibri" w:hAnsi="Calibri" w:eastAsia="仿宋" w:cs="Calibri"/>
                <w:kern w:val="2"/>
                <w:sz w:val="21"/>
                <w:szCs w:val="24"/>
                <w:lang w:val="en-US" w:eastAsia="zh-CN" w:bidi="ar-SA"/>
              </w:rPr>
            </w:pPr>
            <w:r>
              <w:rPr>
                <w:rFonts w:hint="eastAsia" w:ascii="仿宋_GB2312" w:hAnsi="仿宋_GB2312" w:eastAsia="仿宋_GB2312" w:cs="仿宋_GB2312"/>
                <w:b/>
                <w:kern w:val="2"/>
                <w:sz w:val="18"/>
                <w:szCs w:val="18"/>
                <w:lang w:val="en-US" w:eastAsia="zh-CN" w:bidi="ar-SA"/>
              </w:rPr>
              <w:t>★</w:t>
            </w:r>
            <w:r>
              <w:rPr>
                <w:rFonts w:hint="eastAsia" w:ascii="Calibri" w:hAnsi="Calibri" w:eastAsia="仿宋" w:cs="Calibri"/>
                <w:kern w:val="2"/>
                <w:sz w:val="21"/>
                <w:szCs w:val="24"/>
                <w:lang w:val="en-US" w:eastAsia="zh-CN" w:bidi="ar-SA"/>
              </w:rPr>
              <w:t>验收依据：</w:t>
            </w:r>
          </w:p>
          <w:p>
            <w:pPr>
              <w:widowControl w:val="0"/>
              <w:adjustRightInd w:val="0"/>
              <w:snapToGrid w:val="0"/>
              <w:jc w:val="both"/>
              <w:rPr>
                <w:rFonts w:ascii="Calibri" w:hAnsi="Calibri" w:eastAsia="仿宋" w:cs="Calibri"/>
                <w:kern w:val="2"/>
                <w:sz w:val="21"/>
                <w:szCs w:val="24"/>
                <w:lang w:val="en-US" w:eastAsia="zh-CN" w:bidi="ar-SA"/>
              </w:rPr>
            </w:pPr>
            <w:r>
              <w:rPr>
                <w:rFonts w:hint="eastAsia" w:ascii="仿宋_GB2312" w:hAnsi="仿宋_GB2312" w:eastAsia="仿宋_GB2312" w:cs="仿宋_GB2312"/>
                <w:b/>
                <w:kern w:val="2"/>
                <w:sz w:val="18"/>
                <w:szCs w:val="18"/>
                <w:lang w:val="en-US" w:eastAsia="zh-CN" w:bidi="ar-SA"/>
              </w:rPr>
              <w:t>★</w:t>
            </w:r>
            <w:r>
              <w:rPr>
                <w:rFonts w:hint="eastAsia" w:ascii="Calibri" w:hAnsi="Calibri" w:eastAsia="仿宋" w:cs="Calibri"/>
                <w:kern w:val="2"/>
                <w:sz w:val="21"/>
                <w:szCs w:val="24"/>
                <w:lang w:val="en-US" w:eastAsia="zh-CN" w:bidi="ar-SA"/>
              </w:rPr>
              <w:t>验收条件：</w:t>
            </w:r>
          </w:p>
          <w:p>
            <w:pPr>
              <w:widowControl w:val="0"/>
              <w:adjustRightInd w:val="0"/>
              <w:snapToGrid w:val="0"/>
              <w:jc w:val="both"/>
              <w:rPr>
                <w:rFonts w:ascii="Calibri" w:hAnsi="Calibri" w:eastAsia="仿宋" w:cs="Calibri"/>
                <w:kern w:val="2"/>
                <w:sz w:val="21"/>
                <w:szCs w:val="24"/>
                <w:lang w:val="en" w:eastAsia="zh-CN" w:bidi="ar-SA"/>
              </w:rPr>
            </w:pPr>
            <w:r>
              <w:rPr>
                <w:rFonts w:hint="eastAsia" w:ascii="仿宋_GB2312" w:hAnsi="仿宋_GB2312" w:eastAsia="仿宋_GB2312" w:cs="仿宋_GB2312"/>
                <w:b/>
                <w:kern w:val="2"/>
                <w:sz w:val="18"/>
                <w:szCs w:val="18"/>
                <w:lang w:val="en-US" w:eastAsia="zh-CN" w:bidi="ar-SA"/>
              </w:rPr>
              <w:t>★</w:t>
            </w:r>
            <w:r>
              <w:rPr>
                <w:rFonts w:hint="eastAsia" w:ascii="Calibri" w:hAnsi="Calibri" w:eastAsia="仿宋" w:cs="Calibri"/>
                <w:kern w:val="2"/>
                <w:sz w:val="21"/>
                <w:szCs w:val="24"/>
                <w:lang w:val="en" w:eastAsia="zh-CN" w:bidi="ar-SA"/>
              </w:rPr>
              <w:t>验收内容与流程：</w:t>
            </w:r>
          </w:p>
          <w:p>
            <w:pPr>
              <w:widowControl w:val="0"/>
              <w:adjustRightInd w:val="0"/>
              <w:snapToGrid w:val="0"/>
              <w:ind w:left="360" w:hanging="361" w:hangingChars="200"/>
              <w:jc w:val="both"/>
              <w:rPr>
                <w:rFonts w:ascii="Calibri" w:hAnsi="Calibri" w:eastAsia="仿宋" w:cs="Calibri"/>
                <w:kern w:val="2"/>
                <w:sz w:val="21"/>
                <w:szCs w:val="24"/>
                <w:lang w:val="en" w:eastAsia="zh-CN" w:bidi="ar-SA"/>
              </w:rPr>
            </w:pPr>
            <w:r>
              <w:rPr>
                <w:rFonts w:hint="eastAsia" w:ascii="仿宋_GB2312" w:hAnsi="仿宋_GB2312" w:eastAsia="仿宋_GB2312" w:cs="仿宋_GB2312"/>
                <w:b/>
                <w:kern w:val="2"/>
                <w:sz w:val="18"/>
                <w:szCs w:val="18"/>
                <w:lang w:val="en-US" w:eastAsia="zh-CN" w:bidi="ar-SA"/>
              </w:rPr>
              <w:t>★</w:t>
            </w:r>
            <w:r>
              <w:rPr>
                <w:rFonts w:hint="eastAsia" w:ascii="Calibri" w:hAnsi="Calibri" w:eastAsia="仿宋" w:cs="Calibri"/>
                <w:kern w:val="2"/>
                <w:sz w:val="21"/>
                <w:szCs w:val="24"/>
                <w:lang w:val="en" w:eastAsia="zh-CN" w:bidi="ar-SA"/>
              </w:rPr>
              <w:t>主要交付物：</w:t>
            </w:r>
          </w:p>
          <w:p>
            <w:pPr>
              <w:widowControl w:val="0"/>
              <w:adjustRightInd w:val="0"/>
              <w:snapToGrid w:val="0"/>
              <w:ind w:left="360" w:hanging="361" w:hangingChars="200"/>
              <w:jc w:val="both"/>
              <w:rPr>
                <w:rFonts w:ascii="Calibri" w:hAnsi="Calibri" w:eastAsia="仿宋" w:cs="Calibri"/>
                <w:kern w:val="2"/>
                <w:sz w:val="21"/>
                <w:szCs w:val="24"/>
                <w:lang w:val="en-US" w:eastAsia="zh-CN" w:bidi="ar-SA"/>
              </w:rPr>
            </w:pPr>
            <w:r>
              <w:rPr>
                <w:rFonts w:hint="eastAsia" w:ascii="仿宋_GB2312" w:hAnsi="仿宋_GB2312" w:eastAsia="仿宋_GB2312" w:cs="仿宋_GB2312"/>
                <w:b/>
                <w:kern w:val="2"/>
                <w:sz w:val="18"/>
                <w:szCs w:val="18"/>
                <w:lang w:val="en-US" w:eastAsia="zh-CN" w:bidi="ar-SA"/>
              </w:rPr>
              <w:t>★</w:t>
            </w:r>
            <w:r>
              <w:rPr>
                <w:rFonts w:hint="eastAsia" w:ascii="Calibri" w:hAnsi="Calibri" w:eastAsia="仿宋" w:cs="Calibri"/>
                <w:kern w:val="2"/>
                <w:sz w:val="21"/>
                <w:szCs w:val="24"/>
                <w:lang w:val="en-US" w:eastAsia="zh-CN" w:bidi="ar-SA"/>
              </w:rPr>
              <w:t>验收标准：</w:t>
            </w:r>
          </w:p>
          <w:p>
            <w:pPr>
              <w:widowControl w:val="0"/>
              <w:spacing w:after="120"/>
              <w:jc w:val="both"/>
              <w:rPr>
                <w:rFonts w:ascii="Arial" w:hAnsi="Arial" w:eastAsia="仿宋" w:cs="Calibri"/>
                <w:kern w:val="2"/>
                <w:sz w:val="21"/>
                <w:szCs w:val="24"/>
                <w:lang w:val="en" w:eastAsia="zh-CN" w:bidi="ar-SA"/>
              </w:rPr>
            </w:pPr>
          </w:p>
          <w:p>
            <w:pPr>
              <w:widowControl w:val="0"/>
              <w:jc w:val="both"/>
              <w:rPr>
                <w:rFonts w:ascii="Calibri" w:hAnsi="Calibri" w:eastAsia="仿宋" w:cs="Calibri"/>
                <w:kern w:val="2"/>
                <w:sz w:val="21"/>
                <w:szCs w:val="24"/>
                <w:lang w:val="en-US" w:eastAsia="zh-CN" w:bidi="ar-SA"/>
              </w:rPr>
            </w:pPr>
          </w:p>
        </w:tc>
        <w:tc>
          <w:tcPr>
            <w:tcW w:w="1879" w:type="dxa"/>
            <w:noWrap w:val="0"/>
            <w:vAlign w:val="center"/>
          </w:tcPr>
          <w:p>
            <w:pPr>
              <w:widowControl w:val="0"/>
              <w:numPr>
                <w:ilvl w:val="1"/>
                <w:numId w:val="0"/>
              </w:numPr>
              <w:spacing w:line="400" w:lineRule="exact"/>
              <w:jc w:val="left"/>
              <w:outlineLvl w:val="1"/>
              <w:rPr>
                <w:rFonts w:ascii="仿宋_GB2312" w:hAnsi="仿宋_GB2312" w:eastAsia="仿宋_GB2312" w:cs="仿宋_GB2312"/>
                <w:kern w:val="2"/>
                <w:sz w:val="21"/>
                <w:szCs w:val="21"/>
                <w:lang w:val="en" w:eastAsia="zh-CN" w:bidi="ar-SA"/>
              </w:rPr>
            </w:pPr>
            <w:r>
              <w:rPr>
                <w:rFonts w:ascii="仿宋_GB2312" w:hAnsi="仿宋_GB2312" w:eastAsia="仿宋_GB2312" w:cs="仿宋_GB2312"/>
                <w:b/>
                <w:bCs/>
                <w:kern w:val="2"/>
                <w:sz w:val="21"/>
                <w:szCs w:val="21"/>
                <w:lang w:val="en" w:eastAsia="zh-CN" w:bidi="ar-SA"/>
              </w:rPr>
              <w:t>验收要求</w:t>
            </w:r>
            <w:r>
              <w:rPr>
                <w:rFonts w:ascii="仿宋_GB2312" w:hAnsi="仿宋_GB2312" w:eastAsia="仿宋_GB2312" w:cs="仿宋_GB2312"/>
                <w:kern w:val="2"/>
                <w:sz w:val="21"/>
                <w:szCs w:val="21"/>
                <w:lang w:val="en" w:eastAsia="zh-CN" w:bidi="ar-SA"/>
              </w:rPr>
              <w:t>：项目验收须进行全面检验。验收工作由采购人组织实施，由采购人、中标人共同完成。中标人应配合完成验收工作，提交相关文档，经采购人确认后进行项目验收。相关要求包括但不限于：①中标人应按照采购人要求，如期完成合同规定的各项工作②中标人应按照采购人要求，移交实施过程中的各类文档，并进行产出物的交付。产出物应提供电子和纸质两种介质，内容应清晰完整，且和项目相符，并保持版本一致。③对验收中发现的问题，中标人应提出有效解决办法和措施，经采购人确认后实施，重大问题，须待问题完全解决后，由采购人重新确认后进行项目验收。</w:t>
            </w:r>
          </w:p>
          <w:p>
            <w:pPr>
              <w:widowControl w:val="0"/>
              <w:spacing w:line="400" w:lineRule="exact"/>
              <w:jc w:val="both"/>
              <w:rPr>
                <w:rFonts w:ascii="仿宋_GB2312" w:hAnsi="仿宋_GB2312" w:eastAsia="仿宋_GB2312" w:cs="仿宋_GB2312"/>
                <w:kern w:val="2"/>
                <w:sz w:val="21"/>
                <w:szCs w:val="21"/>
                <w:lang w:val="en" w:eastAsia="zh-CN" w:bidi="ar-SA"/>
              </w:rPr>
            </w:pPr>
            <w:r>
              <w:rPr>
                <w:rFonts w:hint="eastAsia" w:ascii="仿宋_GB2312" w:hAnsi="仿宋_GB2312" w:eastAsia="仿宋_GB2312" w:cs="仿宋_GB2312"/>
                <w:b/>
                <w:bCs/>
                <w:kern w:val="2"/>
                <w:sz w:val="21"/>
                <w:szCs w:val="21"/>
                <w:lang w:val="en" w:eastAsia="zh-CN" w:bidi="ar-SA"/>
              </w:rPr>
              <w:t>验收依据：</w:t>
            </w:r>
            <w:r>
              <w:rPr>
                <w:rFonts w:hint="eastAsia" w:ascii="仿宋_GB2312" w:hAnsi="仿宋_GB2312" w:eastAsia="仿宋_GB2312" w:cs="仿宋_GB2312"/>
                <w:kern w:val="2"/>
                <w:sz w:val="21"/>
                <w:szCs w:val="21"/>
                <w:lang w:val="en" w:eastAsia="zh-CN" w:bidi="ar-SA"/>
              </w:rPr>
              <w:t>以项目合同书、项目需求说明文档所定义的功能，以及验收前双方确认的补充工作需求书、工单、主要交付物等为验收依据。</w:t>
            </w:r>
          </w:p>
          <w:p>
            <w:pPr>
              <w:widowControl w:val="0"/>
              <w:spacing w:line="400" w:lineRule="exact"/>
              <w:jc w:val="left"/>
              <w:rPr>
                <w:rFonts w:ascii="仿宋_GB2312" w:hAnsi="仿宋_GB2312" w:eastAsia="仿宋_GB2312" w:cs="仿宋_GB2312"/>
                <w:kern w:val="2"/>
                <w:sz w:val="21"/>
                <w:szCs w:val="21"/>
                <w:lang w:val="en" w:eastAsia="zh-CN" w:bidi="ar-SA"/>
              </w:rPr>
            </w:pPr>
            <w:r>
              <w:rPr>
                <w:rFonts w:hint="eastAsia" w:ascii="仿宋_GB2312" w:hAnsi="仿宋_GB2312" w:eastAsia="仿宋_GB2312" w:cs="仿宋_GB2312"/>
                <w:b/>
                <w:bCs/>
                <w:kern w:val="2"/>
                <w:sz w:val="21"/>
                <w:szCs w:val="21"/>
                <w:lang w:val="en" w:eastAsia="zh-CN" w:bidi="ar-SA"/>
              </w:rPr>
              <w:t>验收条件：</w:t>
            </w:r>
            <w:r>
              <w:rPr>
                <w:rFonts w:hint="eastAsia" w:ascii="仿宋_GB2312" w:hAnsi="仿宋_GB2312" w:eastAsia="仿宋_GB2312" w:cs="仿宋_GB2312"/>
                <w:kern w:val="2"/>
                <w:sz w:val="21"/>
                <w:szCs w:val="21"/>
                <w:lang w:val="en" w:eastAsia="zh-CN" w:bidi="ar-SA"/>
              </w:rPr>
              <w:t>服务期满之后，中标人可根据采购人相关标准流程，提出验收申请。①按照要求提交各类文档，包括但不限于《需求分析文档》《部署安装文档》《初始化文档》《验证测试报告》（或《试运行报告》）《项目总结报告》《用户手册》《维护手册》，并通过采购人审核。②达到了合同履约要求，符合政府采购合同约定。</w:t>
            </w:r>
          </w:p>
          <w:p>
            <w:pPr>
              <w:widowControl w:val="0"/>
              <w:spacing w:line="400" w:lineRule="exact"/>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b/>
                <w:bCs/>
                <w:kern w:val="2"/>
                <w:sz w:val="21"/>
                <w:szCs w:val="21"/>
                <w:lang w:val="en" w:eastAsia="zh-CN" w:bidi="ar-SA"/>
              </w:rPr>
              <w:t>验收内容与流程：</w:t>
            </w:r>
            <w:r>
              <w:rPr>
                <w:rFonts w:hint="eastAsia" w:ascii="仿宋_GB2312" w:hAnsi="仿宋_GB2312" w:eastAsia="仿宋_GB2312" w:cs="仿宋_GB2312"/>
                <w:kern w:val="2"/>
                <w:sz w:val="21"/>
                <w:szCs w:val="21"/>
                <w:lang w:val="en" w:eastAsia="zh-CN" w:bidi="ar-SA"/>
              </w:rPr>
              <w:t>①验收工作组听取中标人关于本项目的工作汇报。②验收工作组审核中标人提供的各类文档等是否齐全，是否符合国家或有关部门的相关要求。</w:t>
            </w:r>
            <w:r>
              <w:rPr>
                <w:rFonts w:ascii="Calibri" w:hAnsi="Calibri" w:eastAsia="仿宋_GB2312" w:cs="Calibri"/>
                <w:kern w:val="2"/>
                <w:sz w:val="21"/>
                <w:szCs w:val="21"/>
                <w:lang w:val="en" w:eastAsia="zh-CN" w:bidi="ar-SA"/>
              </w:rPr>
              <w:t>③</w:t>
            </w:r>
            <w:r>
              <w:rPr>
                <w:rFonts w:hint="eastAsia" w:ascii="仿宋_GB2312" w:hAnsi="仿宋_GB2312" w:eastAsia="仿宋_GB2312" w:cs="仿宋_GB2312"/>
                <w:kern w:val="2"/>
                <w:sz w:val="21"/>
                <w:szCs w:val="21"/>
                <w:lang w:val="en" w:eastAsia="zh-CN" w:bidi="ar-SA"/>
              </w:rPr>
              <w:t>验收工作组检查本项目工作是否达到合同书的各项指标与要求。检查本项目工作中发现的缺陷及遗留问题的解决情况及系统运行等情况。</w:t>
            </w:r>
          </w:p>
          <w:p>
            <w:pPr>
              <w:keepNext/>
              <w:keepLines/>
              <w:widowControl w:val="0"/>
              <w:numPr>
                <w:ilvl w:val="1"/>
                <w:numId w:val="0"/>
              </w:numPr>
              <w:spacing w:before="260" w:after="260" w:line="400" w:lineRule="exact"/>
              <w:jc w:val="both"/>
              <w:outlineLvl w:val="1"/>
              <w:rPr>
                <w:rFonts w:ascii="仿宋_GB2312" w:hAnsi="仿宋_GB2312" w:eastAsia="仿宋_GB2312" w:cs="仿宋_GB2312"/>
                <w:b/>
                <w:kern w:val="2"/>
                <w:sz w:val="21"/>
                <w:szCs w:val="21"/>
                <w:lang w:val="en" w:eastAsia="zh-CN" w:bidi="ar-SA"/>
              </w:rPr>
            </w:pPr>
            <w:r>
              <w:rPr>
                <w:rFonts w:hint="eastAsia" w:ascii="仿宋_GB2312" w:hAnsi="仿宋_GB2312" w:eastAsia="仿宋_GB2312" w:cs="仿宋_GB2312"/>
                <w:b/>
                <w:kern w:val="2"/>
                <w:sz w:val="21"/>
                <w:szCs w:val="21"/>
                <w:lang w:val="en" w:eastAsia="zh-CN" w:bidi="ar-SA"/>
              </w:rPr>
              <w:t>主要交付物：</w:t>
            </w:r>
            <w:r>
              <w:rPr>
                <w:rFonts w:hint="eastAsia" w:ascii="仿宋_GB2312" w:hAnsi="仿宋_GB2312" w:eastAsia="仿宋_GB2312" w:cs="仿宋_GB2312"/>
                <w:bCs/>
                <w:kern w:val="2"/>
                <w:sz w:val="21"/>
                <w:szCs w:val="21"/>
                <w:lang w:val="en" w:eastAsia="zh-CN" w:bidi="ar-SA"/>
              </w:rPr>
              <w:t>①本项目源代码；</w:t>
            </w:r>
            <w:r>
              <w:rPr>
                <w:rFonts w:hint="eastAsia" w:ascii="仿宋_GB2312" w:hAnsi="仿宋_GB2312" w:eastAsia="仿宋_GB2312" w:cs="仿宋_GB2312"/>
                <w:b/>
                <w:kern w:val="2"/>
                <w:sz w:val="21"/>
                <w:szCs w:val="21"/>
                <w:lang w:val="en" w:eastAsia="zh-CN" w:bidi="ar-SA"/>
              </w:rPr>
              <w:t>②</w:t>
            </w:r>
            <w:r>
              <w:rPr>
                <w:rFonts w:hint="eastAsia" w:ascii="仿宋_GB2312" w:hAnsi="仿宋_GB2312" w:eastAsia="仿宋_GB2312" w:cs="仿宋_GB2312"/>
                <w:bCs/>
                <w:kern w:val="2"/>
                <w:sz w:val="21"/>
                <w:szCs w:val="21"/>
                <w:lang w:val="en" w:eastAsia="zh-CN" w:bidi="ar-SA"/>
              </w:rPr>
              <w:t>软件系统开发过程中产生的关键性的文档（包括需求分析文档、软件设计文档、测试文档、培训文档、操作手册）以及交付所需的其它文档；</w:t>
            </w:r>
            <w:r>
              <w:rPr>
                <w:rFonts w:hint="eastAsia" w:ascii="仿宋_GB2312" w:hAnsi="仿宋_GB2312" w:eastAsia="仿宋_GB2312" w:cs="仿宋_GB2312"/>
                <w:b/>
                <w:kern w:val="2"/>
                <w:sz w:val="21"/>
                <w:szCs w:val="21"/>
                <w:lang w:val="en" w:eastAsia="zh-CN" w:bidi="ar-SA"/>
              </w:rPr>
              <w:t>③</w:t>
            </w:r>
            <w:r>
              <w:rPr>
                <w:rFonts w:hint="eastAsia" w:ascii="仿宋_GB2312" w:hAnsi="仿宋_GB2312" w:eastAsia="仿宋_GB2312" w:cs="仿宋_GB2312"/>
                <w:bCs/>
                <w:kern w:val="2"/>
                <w:sz w:val="21"/>
                <w:szCs w:val="21"/>
                <w:lang w:val="en" w:eastAsia="zh-CN" w:bidi="ar-SA"/>
              </w:rPr>
              <w:t>委托第三方测评机构形成的源代码安全审计报告、安全功能测评报告和等保测评报告，出具以上问题整改报告。</w:t>
            </w:r>
            <w:r>
              <w:rPr>
                <w:rFonts w:hint="eastAsia" w:ascii="宋体" w:hAnsi="宋体" w:eastAsia="宋体" w:cs="宋体"/>
                <w:bCs/>
                <w:kern w:val="2"/>
                <w:sz w:val="21"/>
                <w:szCs w:val="21"/>
                <w:lang w:val="en" w:eastAsia="zh-CN" w:bidi="ar-SA"/>
              </w:rPr>
              <w:t>④</w:t>
            </w:r>
            <w:r>
              <w:rPr>
                <w:rFonts w:hint="eastAsia" w:ascii="仿宋_GB2312" w:hAnsi="仿宋_GB2312" w:eastAsia="仿宋_GB2312" w:cs="仿宋_GB2312"/>
                <w:bCs/>
                <w:kern w:val="2"/>
                <w:sz w:val="21"/>
                <w:szCs w:val="21"/>
                <w:lang w:val="en" w:eastAsia="zh-CN" w:bidi="ar-SA"/>
              </w:rPr>
              <w:t>具体验收交付物可根据具体情况进行调整。</w:t>
            </w:r>
          </w:p>
          <w:p>
            <w:pPr>
              <w:widowControl w:val="0"/>
              <w:spacing w:line="400" w:lineRule="exact"/>
              <w:jc w:val="both"/>
              <w:rPr>
                <w:rFonts w:ascii="仿宋_GB2312" w:hAnsi="仿宋_GB2312" w:eastAsia="仿宋_GB2312" w:cs="仿宋_GB2312"/>
                <w:kern w:val="2"/>
                <w:sz w:val="21"/>
                <w:szCs w:val="21"/>
                <w:lang w:val="en" w:eastAsia="zh-CN" w:bidi="ar-SA"/>
              </w:rPr>
            </w:pPr>
            <w:r>
              <w:rPr>
                <w:rFonts w:hint="eastAsia" w:ascii="仿宋_GB2312" w:hAnsi="仿宋_GB2312" w:eastAsia="仿宋_GB2312" w:cs="仿宋_GB2312"/>
                <w:kern w:val="2"/>
                <w:sz w:val="21"/>
                <w:szCs w:val="21"/>
                <w:lang w:val="en" w:eastAsia="zh-CN" w:bidi="ar-SA"/>
              </w:rPr>
              <w:t>验收标准：验收小组将从系统规划设计的实用性、全面性、可维护性、灵活性、安全性及其业务和技术文档、标准规范文档等方面全面组织验收。</w:t>
            </w:r>
          </w:p>
          <w:p>
            <w:pPr>
              <w:widowControl w:val="0"/>
              <w:spacing w:line="400" w:lineRule="exact"/>
              <w:jc w:val="both"/>
              <w:rPr>
                <w:rFonts w:ascii="仿宋_GB2312" w:hAnsi="仿宋_GB2312" w:eastAsia="仿宋_GB2312" w:cs="仿宋_GB2312"/>
                <w:kern w:val="2"/>
                <w:sz w:val="21"/>
                <w:szCs w:val="21"/>
                <w:lang w:val="en" w:eastAsia="zh-CN" w:bidi="ar-SA"/>
              </w:rPr>
            </w:pPr>
            <w:r>
              <w:rPr>
                <w:rFonts w:hint="eastAsia" w:ascii="仿宋_GB2312" w:hAnsi="仿宋_GB2312" w:eastAsia="仿宋_GB2312" w:cs="仿宋_GB2312"/>
                <w:kern w:val="2"/>
                <w:sz w:val="21"/>
                <w:szCs w:val="21"/>
                <w:lang w:val="en" w:eastAsia="zh-CN" w:bidi="ar-SA"/>
              </w:rPr>
              <w:t>系统实用性：项目验收最关键的指标。检查系统规划设计是否符合当前业务的需要，特别是业务流的整体性和数据流的一致性，并前瞻性地提供未来业务接口。</w:t>
            </w:r>
          </w:p>
          <w:p>
            <w:pPr>
              <w:widowControl w:val="0"/>
              <w:spacing w:line="400" w:lineRule="exact"/>
              <w:jc w:val="both"/>
              <w:rPr>
                <w:rFonts w:ascii="仿宋_GB2312" w:hAnsi="仿宋_GB2312" w:eastAsia="仿宋_GB2312" w:cs="仿宋_GB2312"/>
                <w:kern w:val="2"/>
                <w:sz w:val="21"/>
                <w:szCs w:val="21"/>
                <w:lang w:val="en" w:eastAsia="zh-CN" w:bidi="ar-SA"/>
              </w:rPr>
            </w:pPr>
            <w:r>
              <w:rPr>
                <w:rFonts w:hint="eastAsia" w:ascii="仿宋_GB2312" w:hAnsi="仿宋_GB2312" w:eastAsia="仿宋_GB2312" w:cs="仿宋_GB2312"/>
                <w:kern w:val="2"/>
                <w:sz w:val="21"/>
                <w:szCs w:val="21"/>
                <w:lang w:val="en" w:eastAsia="zh-CN" w:bidi="ar-SA"/>
              </w:rPr>
              <w:t>系统全面性：检查系统规划设计是否包含了所有的业务需求。</w:t>
            </w:r>
          </w:p>
          <w:p>
            <w:pPr>
              <w:widowControl w:val="0"/>
              <w:spacing w:line="400" w:lineRule="exact"/>
              <w:jc w:val="both"/>
              <w:rPr>
                <w:rFonts w:ascii="仿宋_GB2312" w:hAnsi="仿宋_GB2312" w:eastAsia="仿宋_GB2312" w:cs="仿宋_GB2312"/>
                <w:kern w:val="2"/>
                <w:sz w:val="21"/>
                <w:szCs w:val="21"/>
                <w:lang w:val="en" w:eastAsia="zh-CN" w:bidi="ar-SA"/>
              </w:rPr>
            </w:pPr>
            <w:r>
              <w:rPr>
                <w:rFonts w:hint="eastAsia" w:ascii="仿宋_GB2312" w:hAnsi="仿宋_GB2312" w:eastAsia="仿宋_GB2312" w:cs="仿宋_GB2312"/>
                <w:kern w:val="2"/>
                <w:sz w:val="21"/>
                <w:szCs w:val="21"/>
                <w:lang w:val="en" w:eastAsia="zh-CN" w:bidi="ar-SA"/>
              </w:rPr>
              <w:t>系统可维护性：含操作系统管理与维护、应用系统软件管理与维护、数据库管理与维护以及数据库备份、应用系统备份，灾难事件处理与解决实施方案等。</w:t>
            </w:r>
            <w:r>
              <w:rPr>
                <w:rFonts w:hint="eastAsia" w:ascii="仿宋_GB2312" w:hAnsi="仿宋_GB2312" w:eastAsia="仿宋_GB2312" w:cs="仿宋_GB2312"/>
                <w:kern w:val="2"/>
                <w:sz w:val="21"/>
                <w:szCs w:val="21"/>
                <w:lang w:val="en" w:eastAsia="zh-CN" w:bidi="ar-SA"/>
              </w:rPr>
              <w:cr/>
            </w:r>
            <w:r>
              <w:rPr>
                <w:rFonts w:hint="eastAsia" w:ascii="仿宋_GB2312" w:hAnsi="仿宋_GB2312" w:eastAsia="仿宋_GB2312" w:cs="仿宋_GB2312"/>
                <w:kern w:val="2"/>
                <w:sz w:val="21"/>
                <w:szCs w:val="21"/>
                <w:lang w:val="en" w:eastAsia="zh-CN" w:bidi="ar-SA"/>
              </w:rPr>
              <w:t>系统灵活性：规划设计的系统是否方便客户进行维护；系统是否在先进性的基础上具备未来升级和可扩充性；是否利于系统平台迁移和部署等。</w:t>
            </w:r>
          </w:p>
          <w:p>
            <w:pPr>
              <w:widowControl w:val="0"/>
              <w:spacing w:line="400" w:lineRule="exact"/>
              <w:jc w:val="both"/>
              <w:rPr>
                <w:rFonts w:ascii="Calibri" w:hAnsi="Calibri" w:eastAsia="仿宋" w:cs="Calibri"/>
                <w:kern w:val="2"/>
                <w:sz w:val="21"/>
                <w:szCs w:val="21"/>
                <w:lang w:val="en-US" w:eastAsia="zh-CN" w:bidi="ar-SA"/>
              </w:rPr>
            </w:pPr>
            <w:r>
              <w:rPr>
                <w:rFonts w:hint="eastAsia" w:ascii="仿宋_GB2312" w:hAnsi="仿宋_GB2312" w:eastAsia="仿宋_GB2312" w:cs="仿宋_GB2312"/>
                <w:kern w:val="2"/>
                <w:sz w:val="21"/>
                <w:szCs w:val="21"/>
                <w:lang w:val="en" w:eastAsia="zh-CN" w:bidi="ar-SA"/>
              </w:rPr>
              <w:t>系统安全性：是否有完善的安全机制保证系统的安全性，如软件方面的安全防范（加密措施、数据库安全防范等），硬件方面（防火墙、物理</w:t>
            </w:r>
            <w:r>
              <w:rPr>
                <w:rFonts w:hint="eastAsia" w:ascii="Calibri" w:hAnsi="Calibri" w:eastAsia="仿宋" w:cs="Calibri"/>
                <w:kern w:val="2"/>
                <w:sz w:val="21"/>
                <w:szCs w:val="21"/>
                <w:lang w:val="en-US" w:eastAsia="zh-CN" w:bidi="ar-SA"/>
              </w:rPr>
              <w:t>隔离和逻辑隔离）的安全设置。</w:t>
            </w:r>
          </w:p>
          <w:p>
            <w:pPr>
              <w:widowControl w:val="0"/>
              <w:spacing w:line="400" w:lineRule="exact"/>
              <w:jc w:val="both"/>
              <w:rPr>
                <w:rFonts w:ascii="Calibri" w:hAnsi="Calibri" w:eastAsia="仿宋" w:cs="Calibri"/>
                <w:kern w:val="2"/>
                <w:sz w:val="21"/>
                <w:szCs w:val="21"/>
                <w:lang w:val="en-US" w:eastAsia="zh-CN" w:bidi="ar-SA"/>
              </w:rPr>
            </w:pPr>
            <w:r>
              <w:rPr>
                <w:rFonts w:hint="eastAsia" w:ascii="Calibri" w:hAnsi="Calibri" w:eastAsia="仿宋" w:cs="Calibri"/>
                <w:kern w:val="2"/>
                <w:sz w:val="21"/>
                <w:szCs w:val="21"/>
                <w:lang w:val="en-US" w:eastAsia="zh-CN" w:bidi="ar-SA"/>
              </w:rPr>
              <w:t>业务和技术文档：验收文档是否齐全、规范、准确、详细。</w:t>
            </w:r>
          </w:p>
          <w:p>
            <w:pPr>
              <w:widowControl w:val="0"/>
              <w:spacing w:line="400" w:lineRule="exact"/>
              <w:jc w:val="both"/>
              <w:rPr>
                <w:rFonts w:ascii="Calibri" w:hAnsi="Calibri" w:eastAsia="仿宋" w:cs="Calibri"/>
                <w:kern w:val="2"/>
                <w:sz w:val="21"/>
                <w:szCs w:val="21"/>
                <w:lang w:val="en-US" w:eastAsia="zh-CN" w:bidi="ar-SA"/>
              </w:rPr>
            </w:pPr>
            <w:r>
              <w:rPr>
                <w:rFonts w:hint="eastAsia" w:ascii="Calibri" w:hAnsi="Calibri" w:eastAsia="仿宋" w:cs="Calibri"/>
                <w:kern w:val="2"/>
                <w:sz w:val="21"/>
                <w:szCs w:val="21"/>
                <w:lang w:val="en-US" w:eastAsia="zh-CN" w:bidi="ar-SA"/>
              </w:rPr>
              <w:t>标准规范文档：程序代码编写是否规范；注释说明或代码文档是否详细全面；接口定义是否符合信息系统规划一致性的要求。</w:t>
            </w:r>
          </w:p>
          <w:p>
            <w:pPr>
              <w:widowControl w:val="0"/>
              <w:spacing w:line="400" w:lineRule="exact"/>
              <w:jc w:val="both"/>
              <w:rPr>
                <w:rFonts w:ascii="Calibri" w:hAnsi="Calibri" w:eastAsia="仿宋" w:cs="Calibri"/>
                <w:kern w:val="2"/>
                <w:sz w:val="21"/>
                <w:szCs w:val="21"/>
                <w:lang w:val="en-US" w:eastAsia="zh-CN" w:bidi="ar-SA"/>
              </w:rPr>
            </w:pPr>
            <w:r>
              <w:rPr>
                <w:rFonts w:hint="eastAsia" w:ascii="Calibri" w:hAnsi="Calibri" w:eastAsia="仿宋" w:cs="Calibri"/>
                <w:kern w:val="2"/>
                <w:sz w:val="21"/>
                <w:szCs w:val="21"/>
                <w:lang w:val="en-US" w:eastAsia="zh-CN" w:bidi="ar-SA"/>
              </w:rPr>
              <w:t>其他验收标准：其他的与本系统规划设计相关的验收标准。</w:t>
            </w:r>
          </w:p>
          <w:p>
            <w:pPr>
              <w:widowControl w:val="0"/>
              <w:adjustRightInd w:val="0"/>
              <w:snapToGrid w:val="0"/>
              <w:jc w:val="both"/>
              <w:rPr>
                <w:rFonts w:ascii="仿宋_GB2312" w:hAnsi="仿宋_GB2312" w:eastAsia="仿宋_GB2312" w:cs="仿宋_GB2312"/>
                <w:kern w:val="2"/>
                <w:sz w:val="21"/>
                <w:szCs w:val="21"/>
                <w:lang w:val="en-US" w:eastAsia="zh-CN" w:bidi="ar-SA"/>
              </w:rPr>
            </w:pPr>
          </w:p>
        </w:tc>
        <w:tc>
          <w:tcPr>
            <w:tcW w:w="2359" w:type="dxa"/>
            <w:vMerge w:val="restart"/>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1003" w:type="dxa"/>
            <w:vMerge w:val="restart"/>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893" w:type="dxa"/>
            <w:vMerge w:val="restart"/>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547" w:type="dxa"/>
            <w:vMerge w:val="continue"/>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1879" w:type="dxa"/>
            <w:noWrap w:val="0"/>
            <w:vAlign w:val="center"/>
          </w:tcPr>
          <w:p>
            <w:pPr>
              <w:widowControl w:val="0"/>
              <w:adjustRightInd w:val="0"/>
              <w:snapToGrid w:val="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组织验收主体：</w:t>
            </w:r>
          </w:p>
        </w:tc>
        <w:tc>
          <w:tcPr>
            <w:tcW w:w="1879" w:type="dxa"/>
            <w:noWrap w:val="0"/>
            <w:vAlign w:val="center"/>
          </w:tcPr>
          <w:p>
            <w:pPr>
              <w:widowControl w:val="0"/>
              <w:adjustRightInd w:val="0"/>
              <w:snapToGrid w:val="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本项目的履约验收工作由采购人按照需求中验收考核标准组织实施。</w:t>
            </w:r>
          </w:p>
        </w:tc>
        <w:tc>
          <w:tcPr>
            <w:tcW w:w="2359" w:type="dxa"/>
            <w:vMerge w:val="continue"/>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1003" w:type="dxa"/>
            <w:vMerge w:val="continue"/>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893" w:type="dxa"/>
            <w:vMerge w:val="continue"/>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547" w:type="dxa"/>
            <w:vMerge w:val="restart"/>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w:t>
            </w:r>
          </w:p>
        </w:tc>
        <w:tc>
          <w:tcPr>
            <w:tcW w:w="1879" w:type="dxa"/>
            <w:noWrap w:val="0"/>
            <w:vAlign w:val="center"/>
          </w:tcPr>
          <w:p>
            <w:pPr>
              <w:widowControl w:val="0"/>
              <w:adjustRightInd w:val="0"/>
              <w:snapToGrid w:val="0"/>
              <w:ind w:hanging="1"/>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b/>
                <w:kern w:val="2"/>
                <w:sz w:val="18"/>
                <w:szCs w:val="18"/>
                <w:lang w:val="en-US" w:eastAsia="zh-CN" w:bidi="ar-SA"/>
              </w:rPr>
              <w:t>★</w:t>
            </w:r>
            <w:r>
              <w:rPr>
                <w:rFonts w:hint="eastAsia" w:ascii="仿宋_GB2312" w:hAnsi="仿宋_GB2312" w:eastAsia="仿宋_GB2312" w:cs="仿宋_GB2312"/>
                <w:kern w:val="2"/>
                <w:sz w:val="21"/>
                <w:szCs w:val="21"/>
                <w:lang w:val="en-US" w:eastAsia="zh-CN" w:bidi="ar-SA"/>
              </w:rPr>
              <w:t>热线支持：</w:t>
            </w:r>
          </w:p>
        </w:tc>
        <w:tc>
          <w:tcPr>
            <w:tcW w:w="1879" w:type="dxa"/>
            <w:noWrap w:val="0"/>
            <w:vAlign w:val="center"/>
          </w:tcPr>
          <w:p>
            <w:pPr>
              <w:widowControl w:val="0"/>
              <w:adjustRightInd w:val="0"/>
              <w:snapToGrid w:val="0"/>
              <w:ind w:hanging="1"/>
              <w:jc w:val="both"/>
              <w:rPr>
                <w:rFonts w:ascii="仿宋_GB2312" w:hAnsi="仿宋_GB2312" w:eastAsia="仿宋_GB2312" w:cs="仿宋_GB2312"/>
                <w:kern w:val="2"/>
                <w:sz w:val="21"/>
                <w:szCs w:val="21"/>
                <w:lang w:val="en-US" w:eastAsia="zh-CN" w:bidi="ar-SA"/>
              </w:rPr>
            </w:pPr>
            <w:r>
              <w:rPr>
                <w:rFonts w:hint="eastAsia" w:ascii="仿宋_GB2312" w:hAnsi="Calibri" w:eastAsia="仿宋_GB2312" w:cs="Calibri"/>
                <w:kern w:val="2"/>
                <w:sz w:val="21"/>
                <w:szCs w:val="24"/>
                <w:lang w:val="en-US" w:eastAsia="zh-CN" w:bidi="ar-SA"/>
              </w:rPr>
              <w:t>7×24小时热线服务</w:t>
            </w:r>
          </w:p>
        </w:tc>
        <w:tc>
          <w:tcPr>
            <w:tcW w:w="2359" w:type="dxa"/>
            <w:vMerge w:val="restart"/>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1003" w:type="dxa"/>
            <w:vMerge w:val="restart"/>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893" w:type="dxa"/>
            <w:vMerge w:val="restart"/>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trPr>
        <w:tc>
          <w:tcPr>
            <w:tcW w:w="547" w:type="dxa"/>
            <w:vMerge w:val="continue"/>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1879" w:type="dxa"/>
            <w:noWrap w:val="0"/>
            <w:vAlign w:val="center"/>
          </w:tcPr>
          <w:p>
            <w:pPr>
              <w:widowControl w:val="0"/>
              <w:adjustRightInd w:val="0"/>
              <w:snapToGrid w:val="0"/>
              <w:ind w:hanging="1"/>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b/>
                <w:kern w:val="2"/>
                <w:sz w:val="18"/>
                <w:szCs w:val="18"/>
                <w:lang w:val="en-US" w:eastAsia="zh-CN" w:bidi="ar-SA"/>
              </w:rPr>
              <w:t>★</w:t>
            </w:r>
            <w:r>
              <w:rPr>
                <w:rFonts w:hint="eastAsia" w:ascii="仿宋_GB2312" w:hAnsi="仿宋_GB2312" w:eastAsia="仿宋_GB2312" w:cs="仿宋_GB2312"/>
                <w:kern w:val="2"/>
                <w:sz w:val="21"/>
                <w:szCs w:val="21"/>
                <w:lang w:val="en-US" w:eastAsia="zh-CN" w:bidi="ar-SA"/>
              </w:rPr>
              <w:t>现场支持：</w:t>
            </w:r>
          </w:p>
        </w:tc>
        <w:tc>
          <w:tcPr>
            <w:tcW w:w="1879" w:type="dxa"/>
            <w:noWrap w:val="0"/>
            <w:vAlign w:val="center"/>
          </w:tcPr>
          <w:p>
            <w:pPr>
              <w:widowControl w:val="0"/>
              <w:adjustRightInd w:val="0"/>
              <w:snapToGrid w:val="0"/>
              <w:ind w:hanging="1"/>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7*24小时内响应；</w:t>
            </w:r>
          </w:p>
          <w:p>
            <w:pPr>
              <w:widowControl w:val="0"/>
              <w:adjustRightInd w:val="0"/>
              <w:snapToGrid w:val="0"/>
              <w:ind w:hanging="1"/>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1小时内到达</w:t>
            </w:r>
          </w:p>
        </w:tc>
        <w:tc>
          <w:tcPr>
            <w:tcW w:w="2359" w:type="dxa"/>
            <w:vMerge w:val="continue"/>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1003" w:type="dxa"/>
            <w:vMerge w:val="continue"/>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c>
          <w:tcPr>
            <w:tcW w:w="893" w:type="dxa"/>
            <w:vMerge w:val="continue"/>
            <w:noWrap w:val="0"/>
            <w:vAlign w:val="center"/>
          </w:tcPr>
          <w:p>
            <w:pPr>
              <w:widowControl w:val="0"/>
              <w:adjustRightInd w:val="0"/>
              <w:snapToGrid w:val="0"/>
              <w:ind w:right="105" w:rightChars="50"/>
              <w:jc w:val="center"/>
              <w:rPr>
                <w:rFonts w:ascii="仿宋_GB2312" w:hAnsi="仿宋_GB2312" w:eastAsia="仿宋_GB2312" w:cs="仿宋_GB2312"/>
                <w:kern w:val="2"/>
                <w:sz w:val="21"/>
                <w:szCs w:val="21"/>
                <w:lang w:val="en-US" w:eastAsia="zh-CN" w:bidi="ar-SA"/>
              </w:rPr>
            </w:pPr>
          </w:p>
        </w:tc>
      </w:tr>
    </w:tbl>
    <w:p>
      <w:pPr>
        <w:rPr>
          <w:rFonts w:eastAsia="仿宋" w:cs="Calibri"/>
          <w:szCs w:val="24"/>
        </w:rPr>
        <w:sectPr>
          <w:type w:val="continuous"/>
          <w:pgSz w:w="11906" w:h="16838"/>
          <w:pgMar w:top="1440" w:right="1800" w:bottom="1440" w:left="1800" w:header="851" w:footer="992" w:gutter="0"/>
          <w:cols w:space="425" w:num="1"/>
          <w:docGrid w:type="lines" w:linePitch="312" w:charSpace="0"/>
        </w:sectPr>
      </w:pPr>
    </w:p>
    <w:p>
      <w:pPr>
        <w:rPr>
          <w:rFonts w:eastAsia="仿宋" w:cs="Calibri"/>
          <w:szCs w:val="24"/>
        </w:rPr>
      </w:pPr>
    </w:p>
    <w:p>
      <w:pPr>
        <w:snapToGrid w:val="0"/>
        <w:jc w:val="center"/>
        <w:rPr>
          <w:rFonts w:ascii="仿宋_GB2312" w:hAnsi="仿宋_GB2312" w:eastAsia="仿宋_GB2312" w:cs="仿宋_GB2312"/>
          <w:b/>
          <w:bCs/>
          <w:kern w:val="0"/>
          <w:sz w:val="32"/>
          <w:szCs w:val="32"/>
        </w:rPr>
      </w:pPr>
      <w:r>
        <w:rPr>
          <w:rFonts w:hint="eastAsia" w:ascii="宋体" w:hAnsi="宋体" w:cs="Lucida Sans Unicode"/>
          <w:b/>
          <w:color w:val="000000"/>
          <w:szCs w:val="21"/>
        </w:rPr>
        <w:t>服务需求响应表</w:t>
      </w:r>
    </w:p>
    <w:tbl>
      <w:tblPr>
        <w:tblStyle w:val="20"/>
        <w:tblW w:w="88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1"/>
        <w:gridCol w:w="3832"/>
        <w:gridCol w:w="1418"/>
        <w:gridCol w:w="708"/>
        <w:gridCol w:w="709"/>
        <w:gridCol w:w="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8897" w:type="dxa"/>
            <w:gridSpan w:val="6"/>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ind w:right="105" w:rightChars="50"/>
              <w:jc w:val="left"/>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包号/序号：1-1</w:t>
            </w:r>
          </w:p>
          <w:p>
            <w:pPr>
              <w:widowControl w:val="0"/>
              <w:spacing w:line="576" w:lineRule="exact"/>
              <w:jc w:val="left"/>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服务内容：国家税务总局辽宁省税务局2024年辽宁省电子税务局升级改造项目</w:t>
            </w:r>
          </w:p>
          <w:p>
            <w:pPr>
              <w:widowControl w:val="0"/>
              <w:tabs>
                <w:tab w:val="left" w:pos="0"/>
              </w:tabs>
              <w:adjustRightInd w:val="0"/>
              <w:snapToGrid w:val="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中小企业划型所属行业：软件与信息技术服务业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5353" w:type="dxa"/>
            <w:gridSpan w:val="2"/>
            <w:tcBorders>
              <w:top w:val="single" w:color="auto" w:sz="4" w:space="0"/>
              <w:left w:val="single" w:color="auto" w:sz="4" w:space="0"/>
              <w:bottom w:val="single" w:color="auto" w:sz="4" w:space="0"/>
              <w:right w:val="single" w:color="auto" w:sz="4" w:space="0"/>
            </w:tcBorders>
            <w:noWrap w:val="0"/>
            <w:vAlign w:val="center"/>
          </w:tcPr>
          <w:p>
            <w:pPr>
              <w:widowControl w:val="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招标文件要求</w:t>
            </w:r>
          </w:p>
          <w:p>
            <w:pPr>
              <w:widowControl w:val="0"/>
              <w:ind w:hanging="1"/>
              <w:jc w:val="both"/>
              <w:rPr>
                <w:rFonts w:ascii="仿宋_GB2312" w:hAnsi="仿宋_GB2312" w:eastAsia="仿宋_GB2312" w:cs="仿宋_GB2312"/>
                <w:b/>
                <w:kern w:val="2"/>
                <w:sz w:val="21"/>
                <w:szCs w:val="21"/>
                <w:lang w:val="en-US" w:eastAsia="zh-CN" w:bidi="ar-SA"/>
              </w:rPr>
            </w:pPr>
            <w:r>
              <w:rPr>
                <w:rFonts w:hint="eastAsia" w:ascii="仿宋_GB2312" w:hAnsi="仿宋_GB2312" w:eastAsia="仿宋_GB2312" w:cs="仿宋_GB2312"/>
                <w:b/>
                <w:kern w:val="2"/>
                <w:sz w:val="18"/>
                <w:szCs w:val="18"/>
                <w:lang w:val="en-US" w:eastAsia="zh-CN" w:bidi="ar-SA"/>
              </w:rPr>
              <w:t>重要提示：实质性要求及重要指标用★标注（“★”必须标注在序号前），★标注项不得负偏离，如果负偏离，则投标文件无效。</w:t>
            </w:r>
          </w:p>
        </w:tc>
        <w:tc>
          <w:tcPr>
            <w:tcW w:w="1418" w:type="dxa"/>
            <w:tcBorders>
              <w:top w:val="single" w:color="auto" w:sz="4" w:space="0"/>
              <w:left w:val="single" w:color="auto" w:sz="4" w:space="0"/>
              <w:bottom w:val="single" w:color="auto" w:sz="4" w:space="0"/>
              <w:right w:val="single" w:color="auto" w:sz="4" w:space="0"/>
            </w:tcBorders>
            <w:noWrap w:val="0"/>
            <w:vAlign w:val="center"/>
          </w:tcPr>
          <w:p>
            <w:pPr>
              <w:widowControl w:val="0"/>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投标文件响应内容</w:t>
            </w:r>
          </w:p>
        </w:tc>
        <w:tc>
          <w:tcPr>
            <w:tcW w:w="708" w:type="dxa"/>
            <w:tcBorders>
              <w:top w:val="single" w:color="auto" w:sz="4" w:space="0"/>
              <w:left w:val="single" w:color="auto" w:sz="4" w:space="0"/>
              <w:bottom w:val="single" w:color="auto" w:sz="4" w:space="0"/>
              <w:right w:val="single" w:color="auto" w:sz="4" w:space="0"/>
            </w:tcBorders>
            <w:noWrap w:val="0"/>
            <w:vAlign w:val="center"/>
          </w:tcPr>
          <w:p>
            <w:pPr>
              <w:widowControl w:val="0"/>
              <w:tabs>
                <w:tab w:val="left" w:pos="-75"/>
              </w:tabs>
              <w:spacing w:line="240" w:lineRule="exact"/>
              <w:ind w:right="-57" w:rightChars="-27"/>
              <w:jc w:val="center"/>
              <w:rPr>
                <w:rFonts w:ascii="仿宋_GB2312" w:hAnsi="仿宋_GB2312" w:eastAsia="仿宋_GB2312" w:cs="仿宋_GB2312"/>
                <w:kern w:val="0"/>
                <w:sz w:val="21"/>
                <w:szCs w:val="21"/>
                <w:lang w:val="en-US" w:eastAsia="zh-CN" w:bidi="ar-SA"/>
              </w:rPr>
            </w:pPr>
            <w:r>
              <w:rPr>
                <w:rFonts w:hint="eastAsia" w:ascii="仿宋_GB2312" w:hAnsi="仿宋_GB2312" w:eastAsia="仿宋_GB2312" w:cs="仿宋_GB2312"/>
                <w:kern w:val="2"/>
                <w:sz w:val="21"/>
                <w:szCs w:val="21"/>
                <w:lang w:val="en-US" w:eastAsia="zh-CN" w:bidi="ar-SA"/>
              </w:rPr>
              <w:t>偏离程度</w:t>
            </w:r>
          </w:p>
        </w:tc>
        <w:tc>
          <w:tcPr>
            <w:tcW w:w="709" w:type="dxa"/>
            <w:tcBorders>
              <w:top w:val="single" w:color="auto" w:sz="4" w:space="0"/>
              <w:left w:val="single" w:color="auto" w:sz="4" w:space="0"/>
              <w:bottom w:val="single" w:color="auto" w:sz="4" w:space="0"/>
              <w:right w:val="single" w:color="auto" w:sz="4" w:space="0"/>
            </w:tcBorders>
            <w:noWrap w:val="0"/>
            <w:vAlign w:val="center"/>
          </w:tcPr>
          <w:p>
            <w:pPr>
              <w:widowControl w:val="0"/>
              <w:tabs>
                <w:tab w:val="left" w:pos="-75"/>
              </w:tabs>
              <w:spacing w:line="240" w:lineRule="exact"/>
              <w:ind w:right="-57" w:rightChars="-27"/>
              <w:jc w:val="center"/>
              <w:rPr>
                <w:rFonts w:ascii="仿宋_GB2312" w:hAnsi="仿宋_GB2312" w:eastAsia="仿宋_GB2312" w:cs="仿宋_GB2312"/>
                <w:kern w:val="0"/>
                <w:sz w:val="21"/>
                <w:szCs w:val="21"/>
                <w:lang w:val="en-US" w:eastAsia="zh-CN" w:bidi="ar-SA"/>
              </w:rPr>
            </w:pPr>
            <w:r>
              <w:rPr>
                <w:rFonts w:hint="eastAsia" w:ascii="仿宋_GB2312" w:hAnsi="仿宋_GB2312" w:eastAsia="仿宋_GB2312" w:cs="仿宋_GB2312"/>
                <w:kern w:val="2"/>
                <w:sz w:val="21"/>
                <w:szCs w:val="21"/>
                <w:lang w:val="en-US" w:eastAsia="zh-CN" w:bidi="ar-SA"/>
              </w:rPr>
              <w:t>偏离说明</w:t>
            </w:r>
          </w:p>
        </w:tc>
        <w:tc>
          <w:tcPr>
            <w:tcW w:w="709" w:type="dxa"/>
            <w:tcBorders>
              <w:top w:val="single" w:color="auto" w:sz="4" w:space="0"/>
              <w:left w:val="single" w:color="auto" w:sz="4" w:space="0"/>
              <w:bottom w:val="single" w:color="auto" w:sz="4" w:space="0"/>
              <w:right w:val="single" w:color="auto" w:sz="4" w:space="0"/>
            </w:tcBorders>
            <w:noWrap w:val="0"/>
            <w:vAlign w:val="center"/>
          </w:tcPr>
          <w:p>
            <w:pPr>
              <w:widowControl w:val="0"/>
              <w:tabs>
                <w:tab w:val="left" w:pos="-75"/>
              </w:tabs>
              <w:spacing w:line="240" w:lineRule="exact"/>
              <w:ind w:right="-57" w:rightChars="-27"/>
              <w:jc w:val="center"/>
              <w:rPr>
                <w:rFonts w:ascii="仿宋_GB2312" w:hAnsi="仿宋_GB2312" w:eastAsia="仿宋_GB2312" w:cs="仿宋_GB2312"/>
                <w:kern w:val="0"/>
                <w:sz w:val="21"/>
                <w:szCs w:val="21"/>
                <w:lang w:val="en-US" w:eastAsia="zh-CN" w:bidi="ar-SA"/>
              </w:rPr>
            </w:pPr>
            <w:r>
              <w:rPr>
                <w:rFonts w:hint="eastAsia" w:ascii="仿宋_GB2312" w:hAnsi="仿宋_GB2312" w:eastAsia="仿宋_GB2312" w:cs="仿宋_GB2312"/>
                <w:kern w:val="2"/>
                <w:sz w:val="21"/>
                <w:szCs w:val="21"/>
                <w:lang w:val="en-US" w:eastAsia="zh-CN" w:bidi="ar-SA"/>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2" w:hRule="atLeast"/>
        </w:trPr>
        <w:tc>
          <w:tcPr>
            <w:tcW w:w="1521" w:type="dxa"/>
            <w:tcBorders>
              <w:top w:val="single" w:color="auto" w:sz="4" w:space="0"/>
              <w:left w:val="single" w:color="auto" w:sz="4" w:space="0"/>
              <w:bottom w:val="single" w:color="auto" w:sz="4" w:space="0"/>
              <w:right w:val="single" w:color="auto" w:sz="4" w:space="0"/>
            </w:tcBorders>
            <w:noWrap w:val="0"/>
            <w:vAlign w:val="center"/>
          </w:tcPr>
          <w:p>
            <w:pPr>
              <w:widowControl w:val="0"/>
              <w:adjustRightInd w:val="0"/>
              <w:snapToGrid w:val="0"/>
              <w:ind w:hanging="1"/>
              <w:jc w:val="center"/>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按服务需求填写</w:t>
            </w:r>
          </w:p>
        </w:tc>
        <w:tc>
          <w:tcPr>
            <w:tcW w:w="3832" w:type="dxa"/>
            <w:tcBorders>
              <w:top w:val="single" w:color="auto" w:sz="4" w:space="0"/>
              <w:left w:val="single" w:color="auto" w:sz="4" w:space="0"/>
              <w:bottom w:val="single" w:color="auto" w:sz="4" w:space="0"/>
              <w:right w:val="single" w:color="auto" w:sz="4" w:space="0"/>
            </w:tcBorders>
            <w:noWrap w:val="0"/>
            <w:vAlign w:val="center"/>
          </w:tcPr>
          <w:p>
            <w:pPr>
              <w:keepNext/>
              <w:keepLines/>
              <w:widowControl w:val="0"/>
              <w:spacing w:before="340" w:after="330" w:line="400" w:lineRule="exact"/>
              <w:jc w:val="both"/>
              <w:outlineLvl w:val="0"/>
              <w:rPr>
                <w:rFonts w:ascii="仿宋_GB2312" w:hAnsi="仿宋_GB2312" w:eastAsia="仿宋_GB2312" w:cs="仿宋_GB2312"/>
                <w:kern w:val="2"/>
                <w:sz w:val="21"/>
                <w:szCs w:val="21"/>
                <w:lang w:val="en-US" w:eastAsia="zh-CN" w:bidi="ar-SA"/>
              </w:rPr>
            </w:pPr>
            <w:bookmarkStart w:id="70" w:name="_Toc256000003"/>
            <w:r>
              <w:rPr>
                <w:rFonts w:hint="eastAsia" w:ascii="仿宋_GB2312" w:hAnsi="仿宋_GB2312" w:eastAsia="仿宋_GB2312" w:cs="仿宋_GB2312"/>
                <w:kern w:val="2"/>
                <w:sz w:val="21"/>
                <w:szCs w:val="21"/>
                <w:lang w:val="en-US" w:eastAsia="zh-CN" w:bidi="ar-SA"/>
              </w:rPr>
              <w:t>一、项目概述</w:t>
            </w:r>
            <w:bookmarkEnd w:id="70"/>
          </w:p>
          <w:p>
            <w:pPr>
              <w:keepNext/>
              <w:keepLines/>
              <w:widowControl w:val="0"/>
              <w:spacing w:before="340" w:after="330" w:line="400" w:lineRule="exact"/>
              <w:jc w:val="both"/>
              <w:outlineLvl w:val="0"/>
              <w:rPr>
                <w:rFonts w:ascii="仿宋_GB2312" w:hAnsi="仿宋_GB2312" w:eastAsia="仿宋_GB2312" w:cs="仿宋_GB2312"/>
                <w:kern w:val="2"/>
                <w:sz w:val="21"/>
                <w:szCs w:val="21"/>
                <w:lang w:val="en-US" w:eastAsia="zh-CN" w:bidi="ar-SA"/>
              </w:rPr>
            </w:pPr>
            <w:bookmarkStart w:id="71" w:name="_Toc256000004"/>
            <w:r>
              <w:rPr>
                <w:rFonts w:hint="eastAsia" w:ascii="仿宋_GB2312" w:hAnsi="仿宋_GB2312" w:eastAsia="仿宋_GB2312" w:cs="仿宋_GB2312"/>
                <w:kern w:val="2"/>
                <w:sz w:val="21"/>
                <w:szCs w:val="21"/>
                <w:lang w:val="en-US" w:eastAsia="zh-CN" w:bidi="ar-SA"/>
              </w:rPr>
              <w:t>1.1.项目背景</w:t>
            </w:r>
            <w:bookmarkEnd w:id="71"/>
          </w:p>
          <w:p>
            <w:pPr>
              <w:widowControl w:val="0"/>
              <w:snapToGrid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为深入贯彻落实党中央、国务院深化“放管服”改革决策部署，加快“互联网+政务服务”落地见效，持续优化税收营商环境，积极拓展“非接触式”办税，开创税收治理新局面，解决缴费服务难点、堵点、痛点问题。根据国家税务总局发布的《电子税务局规范（2020年版）》及辽宁省税务局每年补充规范，按照“网上办、全流程、非接触、无纸化”的方式，拓展丰富网上办税缴费事项，丰富非接触办税缴税（费）渠道，为纳税人、缴费人和社会公众提供了智能、快捷、安全、高效的网上办税服务，特采购2024年辽宁省电子税务局优化升级改造服务。</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1.2.项目内容</w:t>
            </w:r>
          </w:p>
          <w:p>
            <w:pPr>
              <w:widowControl w:val="0"/>
              <w:snapToGrid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一是优化涉税事项更加合理。以税收法律法规和规范性文件为指导，以最新制定的《税务征管操作规范（2.0）》为业务蓝本，根据总局要求的“全程网上办”、电子税务局补充规范和国家税务总局及辽宁省税务局关于非税项目划转税务部门征收的要求，做到非特殊业务全程网上办理，服务功能“应上尽上”。</w:t>
            </w:r>
          </w:p>
          <w:p>
            <w:pPr>
              <w:widowControl w:val="0"/>
              <w:snapToGrid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二是优化办理入口差异管理。进一步规范电子税务局安全办税渠道，向不同办税主体分别提供办税入口。除法人办税、自然人办税外，专门针对涉税专业服务机构等涉税业务代理方，设置特定业务办理入口和管理功能。</w:t>
            </w:r>
          </w:p>
          <w:p>
            <w:pPr>
              <w:widowControl w:val="0"/>
              <w:snapToGrid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三是拓展多元办理渠道。通过网页版、客户端、移动APP三个渠道进行业务与技术合理融合匹配，实现同一涉税事项在各类渠道协同办理。</w:t>
            </w:r>
          </w:p>
          <w:p>
            <w:pPr>
              <w:widowControl w:val="0"/>
              <w:snapToGrid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四是优化业务授权。一方面，针对不同安全等级业务，设置差异化的安全身份识别要求，提供“一般账号密码”、“实名手机验证码”、“生物识别”等几类系统准入方式；另一方面，针对PC端和移动端办税渠道，根据不同业务特点，进行“必须实现”、“推荐实现”、“不做要求”三类标准划分。通过业务授权合理划分，实现不同渠道匹配相应的业务场景和安全准入。</w:t>
            </w:r>
          </w:p>
          <w:p>
            <w:pPr>
              <w:widowControl w:val="0"/>
              <w:snapToGrid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五是优化数据支撑作用。按照以数据驱动各项税收征管工作的思路，对所有业务功能中的数据要求进行逐项分析，充分发挥数据平台支撑作用，按照现有基础上继续细化纳税人免填数据项，引导建立“数据预填+自动审核”处理机制；同时对数据自动归档、纳税人电子资料库等提出可复用、可查询、可维护的建设要求。</w:t>
            </w:r>
          </w:p>
          <w:p>
            <w:pPr>
              <w:widowControl w:val="0"/>
              <w:snapToGrid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六是资料报送电子化、数字化。将传统业务办理中的附报资料按照电子化、数字化、智能化的设计思路优化继续改进，以资料要素化采集、电子证照应用、电子文档加签电子签名等方式，最大限度实现附报资料的电子化、数字化报送。</w:t>
            </w:r>
          </w:p>
          <w:p>
            <w:pPr>
              <w:widowControl w:val="0"/>
              <w:snapToGrid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七是业务流程电子化。对照最新的《税务征管操作规范（2.0）》，将传统的大厅业务办理流程，按照电子化、线上化方式进行了重新优化重构设计；并基于实名办税、动态风控和动态信用等新视角，探索部分全程在线自主办结的智能化应用场景。</w:t>
            </w:r>
          </w:p>
          <w:p>
            <w:pPr>
              <w:widowControl w:val="0"/>
              <w:snapToGrid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八是定义衔接关联业务。基于部分业务功能办理相互关联的特点，对关联性业务场景进行描述，为形成组合办税套餐等便捷办税方式提供更加精准的一体化归类整合。</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1.3.采购内容</w:t>
            </w:r>
          </w:p>
          <w:p>
            <w:pPr>
              <w:widowControl w:val="0"/>
              <w:snapToGrid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采购内容：2024年辽宁省电子税务局升级改造，在我省电子税务局现有技术架构和硬件设备资源基础上，进一步优化升级电子税务局，并符合国家税务总局的业务、技术和安全要求。</w:t>
            </w:r>
          </w:p>
          <w:p>
            <w:pPr>
              <w:widowControl w:val="0"/>
              <w:snapToGrid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付款方式：2024年辽宁省电子税务局</w:t>
            </w:r>
            <w:r>
              <w:rPr>
                <w:rFonts w:hint="eastAsia" w:ascii="仿宋_GB2312" w:hAnsi="仿宋_GB2312" w:eastAsia="仿宋_GB2312" w:cs="仿宋_GB2312"/>
                <w:kern w:val="2"/>
                <w:sz w:val="21"/>
                <w:szCs w:val="21"/>
                <w:lang w:val="en" w:eastAsia="zh-CN" w:bidi="ar-SA"/>
              </w:rPr>
              <w:t>优化升级改造完成，系统运行平稳，经</w:t>
            </w:r>
            <w:r>
              <w:rPr>
                <w:rFonts w:hint="eastAsia" w:ascii="仿宋_GB2312" w:hAnsi="仿宋_GB2312" w:eastAsia="仿宋_GB2312" w:cs="仿宋_GB2312"/>
                <w:kern w:val="2"/>
                <w:sz w:val="21"/>
                <w:szCs w:val="21"/>
                <w:lang w:val="en-US" w:eastAsia="zh-CN" w:bidi="ar-SA"/>
              </w:rPr>
              <w:t>采购人</w:t>
            </w:r>
            <w:r>
              <w:rPr>
                <w:rFonts w:hint="eastAsia" w:ascii="仿宋_GB2312" w:hAnsi="仿宋_GB2312" w:eastAsia="仿宋_GB2312" w:cs="仿宋_GB2312"/>
                <w:kern w:val="2"/>
                <w:sz w:val="21"/>
                <w:szCs w:val="21"/>
                <w:lang w:val="en" w:eastAsia="zh-CN" w:bidi="ar-SA"/>
              </w:rPr>
              <w:t>初步验收合格后，</w:t>
            </w:r>
            <w:r>
              <w:rPr>
                <w:rFonts w:hint="eastAsia" w:ascii="仿宋_GB2312" w:hAnsi="仿宋_GB2312" w:eastAsia="仿宋_GB2312" w:cs="仿宋_GB2312"/>
                <w:kern w:val="2"/>
                <w:sz w:val="21"/>
                <w:szCs w:val="21"/>
                <w:lang w:val="en-US" w:eastAsia="zh-CN" w:bidi="ar-SA"/>
              </w:rPr>
              <w:t>支付30%合同价款；试运行6个月后，</w:t>
            </w:r>
            <w:r>
              <w:rPr>
                <w:rFonts w:hint="eastAsia" w:ascii="仿宋_GB2312" w:hAnsi="仿宋_GB2312" w:eastAsia="仿宋_GB2312" w:cs="仿宋_GB2312"/>
                <w:kern w:val="2"/>
                <w:sz w:val="21"/>
                <w:szCs w:val="21"/>
                <w:lang w:val="en" w:eastAsia="zh-CN" w:bidi="ar-SA"/>
              </w:rPr>
              <w:t>系统运行平稳，</w:t>
            </w:r>
            <w:r>
              <w:rPr>
                <w:rFonts w:hint="eastAsia" w:ascii="仿宋_GB2312" w:hAnsi="仿宋_GB2312" w:eastAsia="仿宋_GB2312" w:cs="仿宋_GB2312"/>
                <w:kern w:val="2"/>
                <w:sz w:val="21"/>
                <w:szCs w:val="21"/>
                <w:lang w:val="en-US" w:eastAsia="zh-CN" w:bidi="ar-SA"/>
              </w:rPr>
              <w:t>支付剩余合同价款（无息）。</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1.4.项目实施要求</w:t>
            </w:r>
          </w:p>
          <w:p>
            <w:pPr>
              <w:widowControl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项目实施时间：自合同签订之日起一个月内完成</w:t>
            </w:r>
          </w:p>
          <w:p>
            <w:pPr>
              <w:widowControl w:val="0"/>
              <w:spacing w:line="400" w:lineRule="exact"/>
              <w:ind w:firstLine="48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项目实施地点：国家税务总局辽宁省税务局</w:t>
            </w:r>
          </w:p>
          <w:p>
            <w:pPr>
              <w:keepNext/>
              <w:keepLines/>
              <w:widowControl w:val="0"/>
              <w:spacing w:before="340" w:after="330" w:line="400" w:lineRule="exact"/>
              <w:jc w:val="both"/>
              <w:outlineLvl w:val="0"/>
              <w:rPr>
                <w:rFonts w:ascii="仿宋_GB2312" w:hAnsi="仿宋_GB2312" w:eastAsia="仿宋_GB2312" w:cs="仿宋_GB2312"/>
                <w:kern w:val="2"/>
                <w:sz w:val="21"/>
                <w:szCs w:val="21"/>
                <w:lang w:val="en-US" w:eastAsia="zh-CN" w:bidi="ar-SA"/>
              </w:rPr>
            </w:pPr>
            <w:bookmarkStart w:id="72" w:name="_Toc256000005"/>
            <w:r>
              <w:rPr>
                <w:rFonts w:hint="eastAsia" w:ascii="仿宋_GB2312" w:hAnsi="仿宋_GB2312" w:eastAsia="仿宋_GB2312" w:cs="仿宋_GB2312"/>
                <w:kern w:val="2"/>
                <w:sz w:val="21"/>
                <w:szCs w:val="21"/>
                <w:lang w:val="en-US" w:eastAsia="zh-CN" w:bidi="ar-SA"/>
              </w:rPr>
              <w:t>二、投标/响应要求</w:t>
            </w:r>
            <w:bookmarkEnd w:id="72"/>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2.1.中标人资质要求</w:t>
            </w:r>
          </w:p>
          <w:p>
            <w:pPr>
              <w:widowControl w:val="0"/>
              <w:snapToGrid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应符合《政府采购法》所要求的资格条件，并具备完成运维系统综合监控系统运维的能力。具有质量管理体系ISO9001认证证书、具有信息安全管理体系27001认证证书、有效的信息技术服务管理体系认证（ISO20000）证书，相关证书优先考虑。</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中标人可提供2022年1月1日以来（以合同签订日期为准）独立承担开发实施的同类软件开发或运维成功案例。</w:t>
            </w:r>
          </w:p>
          <w:p>
            <w:pPr>
              <w:widowControl w:val="0"/>
              <w:snapToGrid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中标人可提供投入本项目技术人员定位及岗位职责设置。</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2.2.技术部分响应要求</w:t>
            </w:r>
          </w:p>
          <w:p>
            <w:pPr>
              <w:widowControl w:val="0"/>
              <w:snapToGrid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中标人提供总体实施方案，可行的项目实施计划、进度管理、质量保证。</w:t>
            </w:r>
          </w:p>
          <w:p>
            <w:pPr>
              <w:widowControl w:val="0"/>
              <w:snapToGrid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中标人提供服务质量监督机制，全面且合理的质量保证体系、质量控制体系、质量保障措施。</w:t>
            </w:r>
          </w:p>
          <w:p>
            <w:pPr>
              <w:widowControl w:val="0"/>
              <w:snapToGrid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中标人提供巡检方案，其中包括巡检周期、巡检流程、巡检内容、巡检报告等内容。</w:t>
            </w:r>
          </w:p>
          <w:p>
            <w:pPr>
              <w:widowControl w:val="0"/>
              <w:snapToGrid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中标人提供验收方案，验收流程及标准规范，技术成果及档案归档要求。</w:t>
            </w:r>
          </w:p>
          <w:p>
            <w:pPr>
              <w:widowControl w:val="0"/>
              <w:snapToGrid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中标人提供培训方案，培训组织完善，师资力量雄厚，培训教材及实施过程中所涉及的知识、技能、经验转移情况等。</w:t>
            </w:r>
          </w:p>
          <w:p>
            <w:pPr>
              <w:widowControl w:val="0"/>
              <w:snapToGrid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中标人提供售后服务方案，售后服务服务体系、服务团队、服务流程、服务规范等内容。</w:t>
            </w:r>
          </w:p>
          <w:p>
            <w:pPr>
              <w:widowControl w:val="0"/>
              <w:snapToGrid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中标人提供重大事项的应急预案，事件级别定义、风险管理计划、应急处理策略、应急处理流程等内容。</w:t>
            </w:r>
          </w:p>
          <w:p>
            <w:pPr>
              <w:widowControl w:val="0"/>
              <w:snapToGrid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中标人提供故障分析及处理方案，提供并清晰描述故障分析及处理流程（包含故障定义、故障分类、故障响应处理流程、硬件故障的诊断和处理、软件故障的诊断和处理）等故障分析及处理方案。</w:t>
            </w:r>
          </w:p>
          <w:p>
            <w:pPr>
              <w:widowControl w:val="0"/>
              <w:snapToGrid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中标人提供投标文件编制是否完整、格式规范、内容齐全、表述准确、条理清晰。</w:t>
            </w:r>
          </w:p>
          <w:p>
            <w:pPr>
              <w:keepNext/>
              <w:keepLines/>
              <w:widowControl w:val="0"/>
              <w:spacing w:before="340" w:after="330" w:line="400" w:lineRule="exact"/>
              <w:jc w:val="both"/>
              <w:outlineLvl w:val="0"/>
              <w:rPr>
                <w:rFonts w:ascii="仿宋_GB2312" w:hAnsi="仿宋_GB2312" w:eastAsia="仿宋_GB2312" w:cs="仿宋_GB2312"/>
                <w:kern w:val="2"/>
                <w:sz w:val="21"/>
                <w:szCs w:val="21"/>
                <w:lang w:val="en-US" w:eastAsia="zh-CN" w:bidi="ar-SA"/>
              </w:rPr>
            </w:pPr>
            <w:bookmarkStart w:id="73" w:name="_Toc256000006"/>
            <w:r>
              <w:rPr>
                <w:rFonts w:hint="eastAsia" w:ascii="仿宋_GB2312" w:hAnsi="仿宋_GB2312" w:eastAsia="仿宋_GB2312" w:cs="仿宋_GB2312"/>
                <w:kern w:val="2"/>
                <w:sz w:val="21"/>
                <w:szCs w:val="21"/>
                <w:lang w:val="en-US" w:eastAsia="zh-CN" w:bidi="ar-SA"/>
              </w:rPr>
              <w:t>三、★项目需求</w:t>
            </w:r>
            <w:bookmarkEnd w:id="73"/>
          </w:p>
          <w:p>
            <w:pPr>
              <w:keepNext/>
              <w:keepLines/>
              <w:widowControl/>
              <w:numPr>
                <w:ilvl w:val="1"/>
                <w:numId w:val="0"/>
              </w:numPr>
              <w:overflowPunct w:val="0"/>
              <w:autoSpaceDE w:val="0"/>
              <w:autoSpaceDN w:val="0"/>
              <w:adjustRightInd w:val="0"/>
              <w:spacing w:before="260" w:after="260"/>
              <w:jc w:val="both"/>
              <w:textAlignment w:val="baseline"/>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3.1.电子税务局升级改造</w:t>
            </w:r>
          </w:p>
          <w:p>
            <w:pPr>
              <w:keepNext/>
              <w:keepLines/>
              <w:widowControl/>
              <w:overflowPunct w:val="0"/>
              <w:autoSpaceDE w:val="0"/>
              <w:autoSpaceDN w:val="0"/>
              <w:adjustRightInd w:val="0"/>
              <w:spacing w:before="260" w:after="260"/>
              <w:jc w:val="both"/>
              <w:textAlignment w:val="baseline"/>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3.1.1.省局需求</w:t>
            </w:r>
          </w:p>
          <w:p>
            <w:pPr>
              <w:keepNext/>
              <w:keepLines/>
              <w:widowControl/>
              <w:numPr>
                <w:ilvl w:val="3"/>
                <w:numId w:val="0"/>
              </w:numPr>
              <w:overflowPunct w:val="0"/>
              <w:autoSpaceDE w:val="0"/>
              <w:autoSpaceDN w:val="0"/>
              <w:adjustRightInd w:val="0"/>
              <w:spacing w:before="280" w:after="290"/>
              <w:jc w:val="both"/>
              <w:textAlignment w:val="baseline"/>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3.1.1.1.纳税人端</w:t>
            </w:r>
          </w:p>
          <w:p>
            <w:pPr>
              <w:widowControl/>
              <w:overflowPunct w:val="0"/>
              <w:autoSpaceDE w:val="0"/>
              <w:autoSpaceDN w:val="0"/>
              <w:adjustRightInd w:val="0"/>
              <w:ind w:firstLine="420"/>
              <w:jc w:val="both"/>
              <w:textAlignment w:val="baseline"/>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需求优化-客户端-企业所得税清算申报-企业所得税清算申报监控注销原因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需求优化-网页版-企业所得税清算申报-企业所得税清算申报监控注销原因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需求优化-客户端-企业所得税核定征收年报（B表）-企业所得税年报监控注销原因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需求优化-网页版-企业所得税核定征收年报（B表）-企业所得税年报监控注销原因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需求优化-客户端-企业所得税查账征收年报（A表）-企业所得税年报监控注销原因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需求优化-网页版-企业所得税查账征收年报（A表）-企业所得税年报监控注销原因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需求优化-客户端-代扣代缴税收完税证明开具申请-新增代扣代缴税收完税证明开具申请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需求优化-网页版-代扣代缴税收完税证明开具申请-新增代扣代缴税收完税证明开具申请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需求优化-客户端-非正常户监控-非正常户仅能使用申报及缴款功能（紧急）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需求优化-客户端-注销税务登记-电子税务局注销税务登记监控注销原因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需求优化-网页版-注销税务登记-电子税务局注销税务登记监控注销原因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程序优化-客户端-【本期应申报】-《增值税及附加税（费）申报（一般纳税人适用）》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社保费管理优化-单位社保费缴费工资月度申报（分险种），在该模块添加 ‘单位编号’和‘社保经办机构’两个筛选条件</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社保费管理优化-用人单位日常缴费工资申报，该模块添加 ‘单位编号’和‘社保经办机构’两个筛选条件</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社保费管理优化-社保费信息查询-用人单位社保费已缴费查询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社保费管理优化-单位社保费缴费工资月度申报（分险种）-增加“双基数申报”入口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社保费管理优化-用人单位社保费申报，增加“抵缴费额”“减免费额”以及“实际缴纳费额”字段</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需求优化-网页版-四项非税收入划转-入库查询及统计查询省级协办部门可选择主管部门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程序优化-网页版-【申报信息查询(新)】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需求优化-客户端-环境保护税税源信息报告-环境保护税税源信息报告增加监控</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需求优化-网页版-环境保护税税源信息报告-环境保护税税源信息报告增加监控</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需求优化-客户端-缴款异常处理-缴款异常处理提示优化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需求优化-网页版-缴款异常处理-缴款异常处理提示优化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需求优化-网页版-通知公告-发布的通知公告默认带附件及链接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网页版-非居民身份信息采集提示优化：字段nsrsbh不允许为空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网页版-非居民身份信息采集优化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电子税务局-联合通办平台-辽宁国有土地使用权出让专项收入费源信息采集调整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需求优化-网页版-城镇垃圾处理费-城镇垃圾处理费申报获取自然人信息优化（紧急）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客户端--更新客户端所有税务LOGO</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程序优化-网页版-新办纳税人增加相关提示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需求优化-客户端-残疾人就业保障金-残疾人就业保障金填写规则优化（紧急）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需求优化-网页版-残疾人就业保障金-残疾人就业保障金填写规则优化（紧急）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电子税务局-联合通办平台-辽宁国有土地使用权出让专项收入费源信息采集改造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社保费管理优化-社保费日常申报-“单位社保费缴费工资月度申报（分险种）”，删除“职工大额补助”字段</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社保费管理优化-社保费日常申报-用人单位社保费日常工资申报，双基数申报功能带出单位编号信息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社保费管理优化-社保费日常申报-用人单位社保费日常工资申报，双基数申报时工资总额大于1000万可提交</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社保费管理优化-社保费日常申报-用人单位社保费日常工资申报，双基数申报功能，添加有效期止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社保费管理优化-社保费日常申报-机关事业单位添加新模块“单位社保费缴费工资月度申报（分险种）”，进行分险种申报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社保费管理优化-社保费日常申报-用人单位社保费日常工资申报，添加双基数申报入口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需求优化-客户端-写入核心业务数据时要求实时监控纳税人状态-第四批次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需求优化-网页版-写入核心业务数据时要求实时监控纳税人状态-第四批次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需求优化-客户端-写入核心业务数据时要求实时监控纳税人状态-第三批次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需求优化-网页版-写入核心业务数据时要求实时监控纳税人状态-第三批次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需求优化-客户端-写入核心业务数据时要求实时监控纳税人状态-第二批次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需求优化-网页版-写入核心业务数据时要求实时监控纳税人状态-第二批次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修改YSBQCXXSC查询接口.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需求优化-客户端-写入核心业务数据时要求实时监控纳税人状态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需求优化-网页版-写入核心业务数据时要求实时监控纳税人状态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【自然人业务】 【我要办税】-《财产和行为税纳税申报（印花税）》 按次申报功能优化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需求优化-客户端-企业所得税-增加企业所得税查账征收（月）季预缴申报表阻断提示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需求优化-网页版-企业所得税-增加企业所得税查账征收（月）季预缴申报表阻断提示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需求优化-网页版-注销税务登记-给一网通办提供注销税务登记接口（紧急）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需求优化-客户端-网上领票申请-辅导期一般纳税人或纳税信用等级为D的一般纳税人增加监控（紧急）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（紧急）检测电子税务局出现漏洞的信息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程序优化-网页版-注册自然人或可信账户中心修改手机号之后，手机号同步到实名库，可信与实名能保持同步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网页版电子税务局提交税收减免优惠申请，优化局端网厅受理功能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需求优化-网页版-征纳互动-征纳互动对接微信企业号（紧急）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需求优化-网页版-电子资料-电子资料初始化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程序优化-网页版-【申报更正】-【申报表种类】《中华人民共和国企业所得税年度纳税申报表（A类）》（A100000）</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程序优化-网页版-【土地增值税项目房源信息报告】</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需求优化-客户端-企业所得税-（加急）业所得税预缴申报表的优化业务需求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需求优化-网页版-企业所得税-（加急）业所得税预缴申报表的优化业务需求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六税两费减征辽宁特色需求改造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社保费管理-管理服务-核定信息录入，判断条件增加一个有效标志</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需求优化-客户端-环境保护税申报-关于在电子税务局设置建筑扬尘环保税抽样测算特征系数值的情况说明</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需求优化-网页版-环境保护税申报-关于在电子税务局设置建筑扬尘环保税抽样测算特征系数值的情况说明</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程序优化-网页版-境内机构和个人发包工程作业或劳务项目-新增合同</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需求优化-网页版-涉税专业服务中止-涉税专业服务中止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需求优化-网页版-电局调用身份核验接口问题</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程序优化-网页版-【印花税简易申报】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社保费管理-社保费申报-日常缴费工资申报，新增判断是否为双基数企业，双基数企业带出‘单位工资总额’和‘生效年度’</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社保费管理-管理服务-核定信息录入（社平补差），将该功能左上角属期修改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社保费管理-管理服务-核定信息录入，将该功能的‘单位缴费比例’（费率）锁死，并加入温馨提示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需求优化-客户端-六税两费-六税两费减征辽宁特色需求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需求优化-网页版-六税两费-六税两费减征辽宁特色需求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程序优化-网页版-【自然人业务】-【我要办税】-【代开发票】-【代开增值税普通发票】和【代开增值税普票查询缴款】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程序优化-网页版-【土地增值税项目房源信息报告】</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程序优化-客户端-【申报更正】 申报表种类：BDA0610994《中华人民共和国企业所得税年度纳税申报表( A类)》(A100000)</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程序优化-客户端-【开具电子税收完税（费）证明（文书式）】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程序优化-网页版-【开具电子税收完税（费）证明（文书式）】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客户端--优化【参股外国企业信息报告表】查询记录</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增值税一般纳税人申报-企业重点群体人员采集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企业重点群体人员采集优化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需求优化-网页版-非税收入划转-人防、河道、水土（查询）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需求优化-网页版-非税收入划转-防空地下室易地建设费费源信息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需求优化-网页版-四项非税收入划转-水土保持补偿费收入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需求优化-网页版-非税收入划转-河道采砂权出让价款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客户端--优化土地增值税增加税源，查询土地增值税项目报告信息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辽宁非税收入-工会经费部门-修改工会经费费种认定办理进度查询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辽宁非税收入-工会经费部门-新增工会经费费种认定(新增)（变更）(取消)功能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新增需求接口封装：通过登记序号查询纳税人附办税人信息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新增需求接口封装：根据lcslid查询申请表数据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新增需求接口封装：查询成品油消费税监管一企一专班成员信息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需求优化-网页版-四项非税收入划转-海域使用金采集表的入库级次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需求优化-客户端-企业所得税月季预缴申报、企业所得税汇算清缴年报申报投入基础研究阻断提示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需求优化-网页版-企业所得税月季预缴申报、企业所得税汇算清缴年报申报投入基础研究阻断提示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需求优化-网页版-锁定用户-过滤系统生成锁定原因为“mmdccw”的锁定信息。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需求优化-网页版-自然人代开不动产发票-上传附列资料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需求优化-网页版-四项非税收入划转-通过备注项区分协办部门及财政部门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需求优化-网页版-城镇垃圾处理费-城镇垃圾处理费统计查询带出协办部门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需求优化-网页版-其他用户登录-纯社保户忘记密码无法发送验证码场景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需求优化-网页版-福利企业退税</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需求优化-客户端-增值税申报-增值税申报主表28行分次预缴填写后反写SB-YJSKXX场景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客户端-程序优化-【企业所得税税前扣除凭证（发票）风险提示反馈（跟票管）】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程序优化-网页版-境内机构和个人发包工程作业或劳务项目备案变更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电子税务局社保费管理-单位社保费费款缴纳-在该功能模块顶端加上温馨提示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查询纳税人动态信用等级接口封装</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辽宁电局与可信对接后新版本可信登录优化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需求优化-网页版-批量加解锁-批量加解锁SQL优化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需求优化-网页版-我的提醒-我的提醒SQL优化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辽宁电局与政务服务对接自然人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客户端-接口封装-查询已锁定的纳税人用户场景1</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客户端-接口封装-查询已锁定的纳税人用户场景2</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需求优化-客户端-财务会计制度及核算软件备案报告-财务会计制度及核算软件备案报告预填优化（紧急）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需求优化-网页版-财务会计制度及核算软件备案报告-财务会计制度及核算软件备案报告预填优化（紧急）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需求优化-网页版-纯社保户-纯社保户忘记密码规则优化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需求优化-网页版-乐企-乐企支持白名单企业</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需求优化-客户端-锁定用户-锁定用户后仍可以通过可信登录进行业务办理（紧急）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需求优化-网页版-锁定用户-锁定用户后仍可以通过可信登录进行业务办理（紧急）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需求优化-客户端-税费缴纳-如果纳税人存在多缴，系统提示上挂载抵缴欠税的相关链接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需求优化-网页版-税费缴纳-如果纳税人存在多缴，系统提示上挂载抵缴欠税的相关链接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需求优化-网页版-土地增值税-土地增值税清算申报附表采集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沈阳市自助机项目接口改造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电子税务局社保费管理-单位社保费费款缴纳-增加“征集通知流水号”筛选条件</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需求优化-网页版-其他用户登录-忘记密码改成手动录入密码非随机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辽宁市场监管局企业年报数据交互接口改造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电子税务局社保费管理-管理服务-核定信息录入（社平补差），将沈阳204和202的经办机构屏蔽掉，201的经办机构显示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电子税务局社保费管理-社保费申报-用人单位日常缴费工资申报-允许纳税人将员工缴费工资修改为0</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需求优化-客户端-土地增值税-新增功能：土地增值税清算申报附表采集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需求优化-网页版-土地增值税-新增功能：土地增值税清算申报附表采集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电子税务局-新增-一键零申报（适用于零收入纳税人）功能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程序优化-网页版-【新办纳税人涉税事项申请套餐】-【财务会计制度备案-基本信息】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需求优化-客户端-注销税务登记-电子税务局注销税务登记监控业务需求（增加监控疑点）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需求优化-网页版-注销税务登记-电子税务局注销税务登记监控业务需求（增加监控疑点）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需求优化-网页版-首页下载链接优化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需求优化-网页版-网厅受理-退抵税审批生成回执内容优化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客户端-程序优化-【我要查询】-【申报信息查询】-【申报信息查询(新)】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程序优化-【我要查询】-【申报信息查询】-【申报信息查询(新)】-优化打印或者导出的2022年《关联业务往来年度报告申报》报表数据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电子税务局-登录电子税务局切换跨区税源户带出社保费相关内容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电子税务局-“核定信息录入”时，征集有效期默认取值改为“2099-12-31”</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需求优化-客户端-土地增值税-土地增值税税源信息报告，新增项目优化（紧急）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需求优化-网页版-土地增值税-土地增值税税源信息报告，新增项目优化（紧急）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需求优化-网页版-土地增值税-土地增值税房源信息报告，下载模板优化（紧急）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电子税务局社保费-增加新模块“核定信息录入(工伤补缴)”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需求优化-客户端-定期定额自行申报-定期定额户自行申报优化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需求优化-网页版-定期定额自行申报-定期定额户自行申报优化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电子税务局社保费-修改费款缴纳查询欠费接口 SBFQUERYQSXX入参条件</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需求优化-网页版-四项非税收入划转-非税通用申报优化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需求优化-网页版-社保费税费缴纳-电子税务局进行社保费费款缴纳或补缴以前年度社会保险费缴款成功后跳转至开具完税证明</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跨区域涉税事项报验登记--跨省报验户报验登记注册功能去掉开通电子税务局流程及规则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需求优化-客户端-注销税务登记-电子税务局进行注销前置套餐后直接跳转到注销税务登记模块</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程序优化-客户端-普通登录-选择人员身份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发票信息查询-发票开具信息查询接口修改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电子税务局社保费-核定信息录入功能中，将沈阳社保经办机构代码是202的屏蔽掉</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客户端-【发票信息查询】-【发票开具信息查询】-【增值税发票种类】</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电子税务局社保费-增加新模块‘沈阳工伤保险核定信息录入【补缴往期】’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需求优化-网页版-登录体系-旧版登录页面上免登录功能优化（紧急）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需求优化-客户端-登录体系-首页登录按钮链接调整为新版可信登录（紧急）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辽宁电子税务局-纳税人端-修改非税收入费源信息查询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辽宁非税收入联合通办-城镇垃圾处理费-申报时增加重新申报校验提示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辽宁非税收入联合通办-城镇垃圾处理费-申报作废需求变更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非税收入联合通办-城镇垃圾处理费-新增用户操作记录查询功能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非税收入联合通办-城镇垃圾处理费申报、作废操作记录需求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非税收入联合通办-住建部门权限-新增城镇垃圾处理费（统计查询）功能及相关功能修改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电局-非税收入通用申报-辽宁阻断自行申报城镇垃圾处理费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需求优化-网页版-四项非税收入划转-国有土地使用权出让收入、探矿权采矿权使用费、矿业权出让收益统计查询功能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需求优化-网页版-四项非税收入划转-非税收入入库统计综合查询功能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GETYHQCXX 接口封装</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需求优化-网页版-四项非税收入划转-资源局跨市业务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电子税务局社保费管理-社保费申报-用人单位日常缴费工资申报优化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需求优化-网页版-需求优化（新）-适老化改造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需求优化-网页版-新办涉税事项套餐-暂时屏蔽发票领用和首次申领税控Ukey</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辽宁社保费网页端-用人单位社保费申报功能增加弹出提示信息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需求优化-网页版-新办纳税人事项套餐-发票票种核定（发票票种为14，数电票）优化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辽宁非税收入河道采砂权出让价款费源信息（采集）市局权限税务机关带出优化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需求优化-网页版-公众服务-公众服务页面登录跳过维护模式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需求优化-网页版-可信登录-登录令牌失效场景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辽宁电局乐企功能名称修改，将我要办税-【乐企】改为【乐企数字开放平台】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程序优化-客户端-【财务报表信息查询(新)】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辽宁非税收入通用申报矿产资源专项收入申报优化需求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需求优化-网页版-四项非税收入划转-河道采砂权出让价款费源信息（作废），可查审核前的费源</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需求优化-网页版-四项非税收入划转-防空地下室易地建设费采集带出税务机关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需求优化-网页版-四项非税收入划转-工会经费新增、变更、取消优化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电子税务局社保费-核定信息录入功能中，在原有温馨提示后再加入内容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电子税务局社保费-核定信息录入功能中，将沈阳社保经办机构代码是201和202的解除屏蔽，并将沈阳社保经办机构代码是204的过滤掉</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需求优化-客户端-新办纳税人登记-增加纳税人登记确认功能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需求优化-网页版-新办纳税人登记-增加纳税人登记确认功能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需求优化-客户端-特色亮点需求-电子税务局小规模综合申报需求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需求优化-网页版-特色亮点需求-电子税务局小规模综合申报需求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需求优化-客户端-特色亮点需求-优化财务会计制度备案</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需求优化-网页版-特色亮点需求-优化财务会计制度备案</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需求优化-客户端-特色亮点需求-电子税务局印花税申报需求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需求优化-网页版-特色亮点需求-电子税务局印花税申报需求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需求优化-客户端-特色亮点需求-定期定额户一键申报需求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需求优化-网页版-特色亮点需求-定期定额户一键申报需求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需求优化-客户端-特色亮点需求-电子税务局外埠预缴申报需求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需求优化-网页版-特色亮点需求-电子税务局外埠预缴申报需求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辽宁非税收入工会经费费种认定办理进度查询修改办理状态查询规则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程序优化-客户端-【生产、生活性服务业增值税加计抵减政策声明申请】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程序优化-网页版-财务报表报送与信息采集（新）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辽宁全电票菜单优化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需求优化-客户端-全电发票-发票票种核定全电优化（紧急&amp;重要）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需求优化-网页版-全电发票-新办纳税人套餐优化（紧急&amp;重要）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需求优化-客户端-全电发票-新办纳税人套餐优化（紧急&amp;重要）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辽宁四项非税收入-入库统计查询-优化查询结果信息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辽宁非税收入河道采砂权出转让申报查询功能优化（征收品目）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辽宁可信上线-人员类型07转换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辽宁可信上线-功能优化场景1</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辽宁可信上线-关闭和优化电局部分功能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辽宁可信上线-app端功能优化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辽宁可信上线-自然人登录功能优化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辽宁可信上线-功能优化场景2</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辽宁可信上线-功能优化-登录提示应用令牌无效场景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需求优化-网页版-我要办税-我要办税下的电票平台的开票业务、税务数字账户折叠菜单优化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电子税务局社保费申报-核定信息录入-工伤保险费率根据取值规则取出默认值，并且企业可以进行修改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电子税务局社保费申报-工程项目工伤保险费申报-添加“工程项目”下拉菜单</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客户端-风险事项二次认证二维码优化（对接可信）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 入库查询及统计查询展示征收品目、征收子目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 资源部门和财政部门查询入库信息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需求优化-网页版-四项非税收入划转-非税收入费源信息（查询）查询规则优化场景1</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需求优化-网页版-四项非税收入划转-非税收入费源信息（查询）查询规则优化场景2</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 非税收入费源信息（开具）查询规则优化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辽宁电局企业人员维护优化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需求优化-网页版-辽宁三项非税收入划转-用户体系优化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需求优化-网页版-四项非税收入划转-协办部门费源信息查询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需求优化-网页版-常用功能-常用功能添加后写入后台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客户端-本期应申报调用GETGYDATA接口返回优化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程序优化-网页版-【跨区域涉税事项信息反馈】</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网页版-企业所得税汇总纳税总分机构信息备案保存进行优化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新增模拟登录功能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客户端-2023税收调查相关功能更新需求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网页版-2023税收调查相关功能更新需求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电子税务局社保费申报-单位社保费费款缴纳-打印银行端时，对银行缴费凭证上显示的银行账户信息进行修改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电子税务局社保费申报-单位社保费费款缴纳-缴费人勾选两个险种进行银行端缴费,缴费人可下载银行端缴费凭证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 协办部门费源信息查询优化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 市级资源部门审核时可查询到费源采集信息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辽宁电局对接征纳互动发送短信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辽宁可信电局客户端-纯社保户优化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辽宁电局客户端新增电票相关功能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辽宁可信上线【一号多人】补偿功能1修改手机号码优化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辽宁可信上线【一号多人】补偿功能2修改手机号码优化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辽宁电局自然人登录与注册优化场景1</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辽宁电局自然人注册优化场景2</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辽宁电局-征纳互动推送电局需要封装后端接口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辽宁电子税务局同步数据优化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电子税务局社保费申报-单位社保费费款缴纳-在使用三方协议进行划款时，若有某笔交易失败时，弹出提示信息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需求优化-网页版-征纳互动-征纳互动发送短信需要封装接口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需求优化-网页版-四项非税收入划转-市级协办部门采集时获取逻辑</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需求优化-网页版-征纳互动-征纳互动接口开发</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需求优化-网页版-我的消息-弹出窗口大小尺寸</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辽宁非税收入-工会经费部门-新增工会经费费种认定办理进度查询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辽宁非税收入-工会经费部门-新增工会经费费种认定(新增)（变更）(取消)功能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辽宁非税收入-新建-水利部门(水土)权限体系</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辽宁非税收入-新建-水利部门(河道)权限体系</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辽宁非税收入-新建-人防部门权限体系</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辽宁非税收入-新建-工会部门权限体系</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电子税务局-纳税人端-修改非税收入通用申报功能优化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电子税务局-纳税人端-修改非税收入费源信息查询优化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电子税务局-增加定时任务-自动作废河道采砂权出让价款费源采集信息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修改辽宁非税收入入库统计综合查询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辽宁非税收入新增防空地下室易地建设费费源信息申报查询、统计查询功能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辽宁非税收入新增水土保持补偿费收入费源信息申报查询、统计查询功能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辽宁非税收入新增河道采砂权出让价款费源信息申报查询、统计查询功能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辽宁非税收入新增防空地下室易地建设费费源信息采集、审核、作废、查询功能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辽宁非税收入新增水土保持补偿费收入费源信息采集、审核、作废、查询功能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辽宁非税收入新增河道采砂权出让价款费源信息采集、审核、作废、查询功能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电子税务局社保费申报-单位社保费费款缴纳-打印银行端时，若存在存款账户，缴费人可选择性打印银行信息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可信上线相关电局客户端需求优化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可信上线相关电局需求优化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程序优化-网页版-【跨省报验户报验登记注册】</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需求优化-网页版-增值税发票最高开票限额-局端审批：即时办结选择“是”时候报异常场景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可信一号多人场景1数据清理需求优化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可信一号多人场景2数据清理需求优化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辽宁电子税务局生产环境自然人菜单显示用户信息修改功能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客户端--重点税源景气调查表，填表说明内容第一条修改为：1.本表月份是指填报日期月份。表中：本月为02月，下月为03月。</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需求优化-网页版-特色需求-根据局方要求要增加电子发票查询接口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需求优化-客户端-特色需求-根据局方要求要增加电子发票查询接口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 统计查询功能增加导出功能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需求优化-网页版-四项非税收入划转-税务局端确认、审核、开具功能默认查询近30天的条件数据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客户端--重点税源信息表第4行、 第6行信息优化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需求优化-网页版-省局需求-电子税务局容缺资料报送及查询需求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需求优化-客户端-省局需求-电子税务局容缺资料报送及查询需求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需求优化-网页版-四项非税收入划转-国有土地采集信息优化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需求优化-网页版-四项非税收入划转-前台采集的费源项目进行缴款场景。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网页版-电子税务局企业所得税汇总缴纳信息备案，优化上一级已重新完成备案及税费种认定信息，下一级做备案保存场景。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需求优化-网页版-发票订单查询-纳税人端-发票订单查询支持快递跟踪</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需求优化-网页版-四项非税收入划转-费源采集时同一身份证号码对应多个自然人场景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客户端--【申报信息查询】2022年企业所得税年报申报表中《捐赠支出及纳税调整明细表(A105070)》第3-6栏次【项目】优化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网页版--【申报信息查询】2022年企业所得税年报申报表中《捐赠支出及纳税调整明细表(A105070)》第3-6栏次【项目】优化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网页版-一般纳税人企业使用注销前置事项办理套餐，一键零申报功能优化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辽宁新增对接可信短信接口开发</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辽宁新增对接可信短信中继接口开发</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辽宁新增对接可信短信接口开发对接中继</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程序优化-【企业人员维护】</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程序优化-客户端-【企业人员维护】</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新增“企业所得税清算报备”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接口封装 查询增值税留抵退税金额记录</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程序优化-网页版-【我的待办】-《居民企业（查账征收）企业所得税年度申报 》</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程序优化-网页版【办税进度查询】-【办税进度查询新】 -【已办结事项】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程序优化-客户端-申报更正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需求优化-网页版-四项非税收入划转-四项非税收入进行费源采集时，取（企业）纳税人的主管税务科所</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 四项非税收入划转采集表为科学计数法</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可信一号多人场景3数据清理新增需求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可信一号多人场景4数据清理新增需求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客户端--重点税源-企业景气调查表 B4审核公式 ZJ00000350提示信息修改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程序优化-网页版-【我要查询】-【纳税信用状态信息查询】-【纳税信用状态信息查询（新）】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H5移动办税-【需求变更】-【实名信息变更】优化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电局新增修改自然人用户（DZSWJ-JSPT-ZRR-YHXX）手机号码接口提供给APP调用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新增在线办税功能“作废企业所得税清算报备”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需求优化-网页版-电子税务局优化建议-注销相关事项（紧急）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需求优化-客户端-电子税务局优化建议-注销相关事项（紧急）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客户端--重点税源景气调查表，企业名称和企业主代码显示优化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客户端-重点税源-税收表20行本期数、23年累计数和22年累计数显示优化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程序优化-网页版-登录页-网络发票【发票开具】-【减免原因】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客户端-重点税源-客户端税收表33行23年累计和22年累计自动计算优化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客户端-重点税源-客户端税收表52行23年累计和22年累计自动计算优化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客户端-重点税源-客户端税收表53行与单机版对应指标计算公式优化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客户端-重点税源-客户端税收表75行与单机版对应指标计算公式优化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客户端-重点税源-客户端税收表103行与单机版对应指标计算公式优化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需求优化-网页版-四项非税收入划转-用户体系优化2023</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需求优化-网页版-四项非税收入划转-纳税人查询过滤调整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需求优化-网页版-四项非税收入划转-四项非税收入采集-上传资料页面进行调整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需求优化-网页版-四项非税收入划转-增加“非税收入入库统计综合查询”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需求优化-网页版-四项非税收入划转-四项非税收入采集功能，修改电子监管号不为必填项。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需求优化-网页版-四项非税收入划转-非税收入通用申报已采集费源信息列表增加 缴款期限</w:t>
            </w:r>
          </w:p>
          <w:p>
            <w:pPr>
              <w:widowControl w:val="0"/>
              <w:spacing w:line="400" w:lineRule="exact"/>
              <w:ind w:left="420" w:leftChars="20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需求优化-网页版-四项非税收入划转-缴费人端非税收入费源信息查询功能优化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电子税务局社保费管理-工程项目工伤保险费申报 优化缴费人类型、工程工伤险的应征凭证种类代码以及添加系统编码值</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电子税务局社保费管理-社保费申报表作废，添加下拉菜单选择缴费人类型：承建单位</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电子税务局社保费管理-用人单位社保费申报情况查询，添加下拉菜单选择缴费人类型：承建单位</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程序优化-网页版-生产、生活性服务业增值税加计抵减政策声明申请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程序优化-客户端-【适用加计抵减政策的声明作废】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优化辽宁非税收入费源采集局端审核通过后调用核心接口保存数据问题</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需求优化-网页版-电子税务局优化建议-系统登录优化建议（紧急）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程序优化-客户端-通用机打-【发票开具】-【减免原因】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需求优化-网页版-电子税务局优化建议-系统登录优化建议（紧急）（适老化）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需求优化-网页版-电子税务局优化建议-跨区涉税相关事项（紧急）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需求优化-网页版-电子税务局优化建议-注销相关事项（紧急）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需求优化-网页版-按次申报提示超过申报期限无法作废（紧急）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需求优化-客户端-按次申报提示超过申报期限无法作废（紧急）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需求优化-网页版-电子税务局优化建议-通知公告（紧急）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需求优化-网页版-四项非税收入划转-四项非税收入划转 统计查询优化（紧急）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需求优化-网页版-四项非税收入划转-纳税人端非税收入费源信息查询优化（紧急）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客户端-重点税源-客户端数据导入单机版后出现异常审核场景1，客户端相关审核通过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客户端-重点税源-客户端数据导入单机版后出现异常审核场景2，客户端相关审核通过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客户端-重点税源-客户端数据导入单机版后出现异常审核场景3，客户端相关审核通过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客户端-重点税源-客户端数据导入单机版后出现异常审核场景4，客户端相关审核通过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客户端-重点税源-客户端数据导入单机版后出现异常审核场景5，客户端相关审核通过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客户端-重点税源-客户端数据导入单机版后出现异常审核场景6，客户端相关审核通过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客户端-重点税源-客户端数据导入单机版后出现异常审核场景7，客户端相关审核通过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客户端-重点税源-客户端数据导入单机版后出现异常审场景8核，客户端相关审核通过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重点税源-优化审核公式审核结果与单机版审核结果保存一致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需求优化-网页版-电子营业执照查看及下载-下载PDF</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客户端重点税源-【税收表】以下指标本期同期累计值参与计算，参照单机版计算公式核对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客户端重点税源-【税收表】客户端指标名称按单机版名称调整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程序优化-客户端-本期应申报-《居民企业（查账征收）企业所得税年度申报》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客户端-重点税源-客户端审核，客户端审核公式与单机版保持一致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辽宁政务服务网单点登录电子税务局优化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需求优化-网页版-税费缴纳-制造业缓缴企业当月缴纳缓缴税款场景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需求优化-网页版-企业所得税-企业所得税（查账征收）月（季）度预缴申报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需求优化-网页版-企业所得税-企业所得税（查账征收）年度申报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需求优化-客户端-企业所得税-企业所得税（查账征收）月（季）度预缴申报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需求优化-客户端-企业所得税-企业所得税（查账征收）年度申报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程序优化-客户端场景1</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需求优化-网页版-企业所得税月季度申报获取财务报表数据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客户端-申报信息查询-《财务报表信息查询(新)》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需求优化-客户端-增加汇总申报功能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网页版-程序优化-《财务报告报送与信息采集（新）》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网页版-程序优化-【自然人业务】-【我要办税】-【代开发票】-【代开增值税普通发票查询缴款】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需求优化-网页版-优化代开发票申请街道乡镇搜索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需求优化-网页版-优化自然人个人不动产出租专用发票代开行政区划标注必填，标黄</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需求优化-网页版-优化首页新版通知红叉关闭标识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数据安全-网页版-存量房交易采集、存量房交易申报存在高危漏洞进行优化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2022年11月份《储蓄存款利息所得扣缴个人所得税报告表》点击【导出】、【打印】,【本期期末储蓄存】下方【人民币】、【合计】显示优化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《车购税代理申报税款缴纳及异常处理（车购税代理申报）-【银联二维码缴税】，优化场景1</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【申报更正】《增值税及附加税费申报表附列资料三(服务、不动产和无形资产扣除项目明细)》【9%税率的项目】的【期初余额】进行优化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《车购税代理申报税款缴纳及异常处理（车购税代理申报）-银联二维码缴税，优化场景2</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需求优化-网页版-延期缴纳税款-BDA0710186 《延期缴纳税款核准决定书》加签签章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需求优化-网页版-注销税务登记-电子税务局注销税务登记纳税信用监控优化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需求优化-客户端-注销税务登记-电子税务局注销税务登记纳税信用监控优化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网页-申报更正-增加提示信息，进入申报更正后选择税源，点击【更正】按钮时提示“当前更正的**申报表纳税期限与税费种认定的纳税期限不一致,请联系主管税务机关”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客户端-申报更正-增加提示信息，进入申报更正后选择税源，点击【更正】按钮时提示“当前更正的**申报表纳税期限与税费种认定的纳税期限不一致,请联系主管税务机关”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需求优化-网页版-增值税制度性留抵退税优化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网页版-退抵税费申请（增值税留抵抵欠）-纳税欠税信息按照应征发生日期排序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需求优化-网页版-税收优惠自检-查询纳税人全量数据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网页版【自然人业务】-【我要办税】-【代开发票】-【代开增值税普通发票】和【个人不动产出租发票代开】 最下方温馨提示内容与界面内容保持一致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社保费管理-用人单位社保费申报功能界面上面提示信息修改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电子税务局社保费-核定信息录入，提示信息更改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需求优化-网页版-四项非税收入划转-用户体系优化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需求优化-网页版-注销税务登记-电子税务局注销税务登记特色监控优化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需求优化-客户端-注销税务登记-电子税务局注销税务登记特色监控优化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需求优化-网页版-跨区域涉税事项报告-跨区域涉税事项报告优化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需求优化-客户端-跨区域涉税事项报告-跨区域涉税事项报告优化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需求优化-网页版-一网通办-“一网通办”设立登记环节验证税务系统是否存在非正常户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需求优化-网页版-企业所得税-（加急）业所得税预缴申报表的优化业务需求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需求优化-客户端-企业所得税-（加急）企业所得税预缴申报表的优化业务需求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需求优化-网页版-银税互动-通过银行APP银税互动登录电子税务局关闭通知公告功能优化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需求优化-网页版-城镇垃圾处理费-城镇垃圾处理费申报根据DM-DZSWJ-JTJGSWJG-GX获取街道乡镇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客户端-企业所得税纳税申报表的优化业务需求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网页版-企业所得税纳税申报表的优化业务需求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需求优化-网页版-福利企业退税网厅受理推送提示优化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需求优化-客户端-福利企业退税网厅受理推送提示优化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需求优化-网页版-非税收入通用申报-城镇垃圾处理费、水土保持补偿费缓缴提示优化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需求优化-客户端-非税收入通用申报-城镇垃圾处理费、水土保持补偿费缓缴提示优化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常用功能-权限过滤</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常用功能-将“网格化服务消息推送”场景1添加至常用功能界面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常用功能-将“网格化服务消息推送”场景2添加至常用功能界面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程序优化-客户端-【财务报告报送与信息采集】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新增需求-网页版-缓缴税款支持在缓缴期限当月和逾期缴纳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程序优化-网页版-【我的待办】-《增值税及附加税（费）申报（一般纳税人适用）》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综合信息报告-状态信息报告-注销税务登记（辽宁特色1监控优化）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综合信息报告-状态信息报告-注销税务登记（辽宁特色2监控优化）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税费申报及缴纳-企业所得税申报-ZOG00-202207040041基础上优化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税费申报及缴纳-企业所得税申报-ZOG00-202207040042基础上优化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客户端-程序优化-登录后弹出提醒-提示信息优化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电子税局社保费-核定信息录入及核定信息录入（社平补差）功能，参保险种为工伤的，将社保经办机构代码是201和202结尾的过滤掉</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综合信息报告-状态信息报告-注销税务登记增加特色1监控（注销原因02、03、08需跳转一般注销）</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综合信息报告-状态信息报告-注销税务登记增加特色2监控（注销原因02、03、08需跳转一般注销）</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电子税务局社保费管理--核定信息录入，更改提示信息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客户端-农产品增值税进项税额扣除标准备案-当期购进农产品数量可为空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优化仅针对缓缴税款提前缴纳的业务场景，对纳税人未到缴款期限的纳税人状态为清算的也可以提前缴纳税款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程序优化-网页版-自然人-首页登录-自然人登录电子税务局，优化登录方式用【短信登录】的，在【我的信息】-【个人中心】中，【手机号】显示为：null的场景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需求优化-网页版-四项非税收入划转-非税通用申报涉及竞买保证金的监控</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需求优化-网页版-自然人增加印花税采集及申报功能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网页版-代收代缴车船税申报-优化导入申报场景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程序优化-网页版-【跨区迁移套餐】</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社保费管理-核定信息录入（社平补差）功能界面提示信息及属期调整更改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程序优化-网页版-自然人业务-【我要办税】-【发票代开】-【个人不动产出租发票代开】-【增值税普通发票】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客户端-变更税务登记-优化提示信息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程序优化-网页版-发票使用-发票票种核定-购票人维护</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430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程序优化-客户端-发票使用-发票票种核定-购票人维护</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431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程序优化-网页版-A级纳税信用级别查询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432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 一户式推送过来的数据 （DZSWJ.GZPT.XXFW.DSJYHS.LOADYHSDATAFROMSJ）定时任务优化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433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【常用功能】→【企业人员维护】→【身份维护】-【办税员（全功能）】-【查看菜单】 -【已选择功能名称】功能优化：用户证件信息关联</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434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公众服务-清税证明开具（未登记）电子签章优化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435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城镇垃圾处理费协办-税费缴纳优化</w:t>
            </w:r>
          </w:p>
          <w:p>
            <w:pPr>
              <w:widowControl w:val="0"/>
              <w:spacing w:line="400" w:lineRule="exact"/>
              <w:ind w:left="420" w:leftChars="20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436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程序优化-客户端-【申报更正】-《增值税及附加税费申报表(小规模纳税人适用)》437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程序优化-网页版-企业注册-跨区域涉税事项报验登记注册-跨省报验户报验登记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438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网页版-开具无欠税证明-纳税人有未申报信息场景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439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辽宁省电子税务局-新版通知公告功能内，“通知公告”区域展示所有内容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辽宁政策速递数据抽取定时任务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需求优化-网页版-注销税务登记初始化提示:该年度不存在该纳税人评价结果</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需求优化-网页版-四项非税收入划转-功能页面美化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需求优化-网页版-四项非税收入划转-矿产资源专项收入的统计和查询功能可独立查询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需求优化-网页版-四项非税收入划转-局端 非税收入费源信息（开具）优化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需求优化-网页版-四项非税收入划转-局端 非税收入费源信息（开具）-开具缴款通知后进行短信发送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需求优化-网页版-四项非税收入划转-矿产权专项收入、海域使用金、无居民海岛使用非税收入通用申报时提示是否申报本级征收品目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需求优化-网页版-纯社保户-全电票信息确认</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客户端-电子税务局-注销税务登记-疑点数据逻辑优化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网页版-电子税务局-注销税务登记-疑点数据逻辑优化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网厅受理-纳税信用复评-保存提交进行优化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程序优化-纯社保户进行全电票消息确认</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辽宁电子税务局社保费（包括纯社保户）新增【核定信息录入（社平调整差额补收）】功能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需求优化-客户端-纯社保户-全电票信息确认</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WEB-用户注册-省外报验户注册 实名支持银联信息验证、身份证实名验证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需求优化-客户端-注销税务登记-（局端）电子税务局注销税务登记监控业务需求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H5移动办税-三方登录：【城镇垃圾处理费（协办申报）】-【缴费人类型】:非自然人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H5移动办税-根据HW行动要求，辽宁移动办税实现双重加固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H5移动办税-企业登录-【代开增值税普通发票】-提交申请表页面进行优化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H5移动办税-企业登录-【办税】-【代开增值税专用发票】-【购买方基本信息】-【常用购买方信息】优化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需求优化-网页版-【开具电子税收完税(费)证明(补打)】优化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需求优化-网页版-印花税税源信息采集模板中增加Sheet页征收子目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需求优化-客户端-印花税税源信息采集模板中增加Sheet页征收子目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需求优化-网页版-印花税税源信息采集-优化导入模板方式采集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H5移动办税-新增需求-【个人办税】-【我的】-增加【办税人解绑】功能，通过企业纳税人识别号，搜索本人绑定的企业办税人，可进行主动解绑办税人与企业关系</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第三方车辆购置税代理申报-车管所进行车购税代理申报及缴款优化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电子税务局-社保费管理-单位社保费费款缴纳进功能提示内容修改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电子税务局社保费管理-用人单位日常缴费工资申报-针对大企业增加批量提交按钮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电子税务局社保费管理-用人单位日常缴费工资申报-大企业获取员工信息，修改查询口径</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电子税务局社保费管理-用人单位特殊缴费申报-针对征集数量大的企业通过sql查询核定信息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程序优化-客户端-【办税进度查询】-【办结事项】-《跨区域涉税事项延期》-【查看回执】优化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需求优化-客户端-跨区域涉税事项报告、存款账户账号报告、财务会计制度备案、跨区域涉税事项延期等业务为纳税人端即办事项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需求优化-网页版-发票退票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程序优化-客户端《土地增值税税源信息报告》，优化【新增税源】申报表适用类型：2.从事房地产开发的纳税人清算适用功能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需求优化-网页版-《境内机构和个人发包工程作业或劳务项目》，局端网厅受理功能优化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需求优化-客户端-【我要查询】→【发票信息查询】→【发票信息查询】→【发票开具信息查询】查询结果优化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程序优化-网页版-【退抵税费申请(入库减免)】提退税金类型：05|先征后退，没有进行过六税两费退税场景优化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需求优化-网页版-四项非税收入划转-非税收入通用申报 特定非税收入采集表 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电子税务局-社保费管理-单位社保费费款缴纳，增加定向医保缓缴提示信息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发需求优化-网页版-发票票种核定-开业设立日期为2008年的纳税人，票种核定删除增值税电子专用票选项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需求优化-网页版-【企业所得税汇总纳税总分机构信息备案】【不就地分摊缴纳企业所得税原因】增加“当年撤销的二级分支机构”、“汇总纳税企业在中国境外设立的不具有法人资格的二级分支机构”两个选项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需求优化-客户端-【企业所得税汇总纳税总分机构信息备案】，【选择】是【上一级机构】增加主管税务机关名称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【需求】场景1--调整“我的提醒”位置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【需求】场景2--调整“我的提醒”位置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需求优化-网页版-电子证照-增加纳税人端电子营业执照查看及下载功能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需求优化-客户端-【跨区域涉税事项信息反馈】-【已预缴税款金额】、【应补预缴税款金额】填完数后，【合计】栏次自动计算</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需求优化-网页版-【公众服务】-【一般纳税人资格信息查询】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需求优化-网页版-企业所得税汇算清缴多缴税款退税查询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需求优化-客户端-企业所得税税前扣除凭证（发票）风险提示（‘按户管’）【发票税前扣除情况】列表显示、详情显示优化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需求优化-网页版-公众服务【清税证明下载】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需求优化-客户端-【财务报告报送与信息采集】年报提示备案信息优化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辽宁红利账单优化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需求优化-客户端-注销税务登记-疑点信息与网页版保持一致优化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需求优化-网页版-【电子发票Ukey申请】-当ukey领取方式选择‘窗口领取’，下方地址栏次应为‘领取地址’。当领取方式选择‘邮寄领取’下方地址栏次应为‘邮寄地址’(常亮)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需求优化-网页版-《办税进度查询（新）》-《历史事项》-查看及下载回执优化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需求优化-网页版-【注销税务登记】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程序优化-网页版-退抵税费申请（增值税制度性留抵退税）</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程序优化-客户端-退抵税费申请（增值税制度性留抵退税）</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需求优化-客户端-用户登录-办税人身份切换纳税人主体优化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需求优化-客户端-财务会计制度及核算软件备案报告-异常提示优化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需求优化-网页版-【财产和行为税合并纳税申报】-减征政策时间进行优化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需求优化-客户端-更正环境保护税，【B30005《环境保护税减免税计算明细报表》】-【征收品目】与核心保持一致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需求优化-网页版-对《境内机构和个人发包工程作业或劳务项目》填写后点击保存提示：“请填写页面必录项信息”场景进行优化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需求优化-网页版《财务报告报送与信息采集（新）》第2季度《民间非营利组织会计制度财务报表报送与信息采集》业务活动表本年累计数为1，2季度之和</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需求优化-客户端-财务报告报送与信息采集-资料报送小类：《民间非营利组织会计制度财务报表报送与信息采集》《业务活动表（适用执行民间非营利组织会计制度的组织）》本年累计自动带出数据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需求优化-客户端-【财务报告报送与信息采集】资产负债表中的资产负债日与核心保持一致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需求优化-客户端-财产和行为税纳税申报-印花税税源信息采集中的【实际结算金额】与核心保持一致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需求优化-网页版-印花税税源信息采集，增加税源时，更改税目，子目清空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开发【延期缴纳税款】业务时需要封装接口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需求优化-客户端-跨区域涉税事项报告业务为纳税人端即办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需求优化-网页版-申报信息查询-《委托代征税款报告表》打印或者导出功能优化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需求优化-网页版-《通用申报表（税及附征税费）》提示已申报信息优化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需求优化-网页版-延期缴纳税款申请，纳税人发起延期缴纳税款申请后，申报更正时系统判断税务机关预审及审批状态并进行提示及阻断</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程序问题-企业所得税税前口述凭证（发票）风险提示反馈（按户管），优化待反馈界面，纳税人存在往期数据可反馈</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程序优化-网页版-税收减免申请-征收项目：土地增值税，保存提交后启动局端预审流程</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需求优化-网页版-残疾人就业保证金-（加急）残疾人就业保障金申报初始化监控提示优化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需求优化-客户端-残疾人就业保证金-（加急）残疾人就业保障金申报初始化监控提示优化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电子税务局客户端功能与社保费管理-生产环境-网页版功能保持一致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需求优化-网页版-财产和行为税-（加急）印花税税源信息采集优化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需求优化-客户端-财产和行为税-（加急）印花税税源信息采集优化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程序优化-网页版-【印花税税源信息报告】-【新增（变更）税源】-【税款所属期起止】弹出的税源采集界面中数据项进行优化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程序优化-网页版-【公众服务】-【公众查询】-【跨区域涉税事项信息反馈通知书下载】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需求优化-网页版-企业所得税-（加急）电子税务局填报财务资产负债表相关数据强制校验优化的业务需求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需求优化-客户端-企业所得税-（加急）电子税务局填报财务资产负债表相关数据强制校验优化的业务需求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程序优化-《网页版-财务报告报送与信息采集（新）》年报提示：“您的财务会计制度报告信息不完整，请补充资料报送明细。”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程序优化-客户端《财务报告报送与信息采集（新）》年报提示：“您的财务会计制度报告信息不完整，请补充资料报送明细。”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程序优化-网页版-增值税及附加税（费）申报（小规模纳税人适用）》-【发票信息提取】、【发票信息刷新】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程序优化-客户端-（加急）增值税留抵抵欠文书出具优化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需求优化-客户端-增值税一般纳税人申报-（加急）六税两费减免更正优化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需求优化-网页版-我的待办-本期应申报优化，只展示当前属期的未申报及企业所得税年报未申报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需求优化-客户端-我的待办-本期应申报优化，只展示当前属期的未申报及企业所得税年报未申报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需求优化-网页版-【发票信息查询】-发票种类：增值税专用电子发票，查询结果优化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需求优化-网页版-自然人-【代开增值税普通发票】中【付款方基本信息】-【备注】填写后，点击上方的【打印】按钮，在打印预览的界面中，对备注内容优化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程序优化-网页版-财产和行为税-房产税-房屋应税信息（从租）信息变更添加时间栏次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程序优化-网页版-清税证明下载，优化下载功能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一般注销税务登记增加特色监控1</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程序优化-客户端-存款账户账号报告，已存在的账号信息中的开户日期不可以修改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辽宁省电子税务局自然人注册使用银联方式认证优化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程序优化-客户端-应申报统计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需求优化-网页版-企业所得税-（加急）电子税务局填报企业所得税预缴申报表“特定业务计算的应纳税所得额 ”栏强制校验优化的业务需求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需求优化-客户端-企业所得税-（加急）电子税务局填报企业所得税预缴申报表“特定业务计算的应纳税所得额 ”栏强制校验优化的业务需求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程序优化-网页版-【发票信息查询】-通用机打发票导出功能优化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程序优化-客户端-【发票信息查询】-通用机打发票导出功能优化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电子税务局社保费管理-用人单位日常缴费工资申报，提示信息调整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电子税务局社保费管理-用人单位日常缴费工资申报，优化导出员工缴费信息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简易注销增加特色监控</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程序优化-网页版-财产和行为税合并纳税申报，优化房产税-是否存在应申报、 是否完成申报、是否存在税源采集显示内容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程序优化-客户端-【福利企业退税申请】表单中“退税限额转结下月”和“退税限额撤销结转”的按钮，与核心页面一致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修改辽宁非税收入自然资源部门页面菜单按照菜单序号排序展示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需求优化-网页版-四项非税收入划转-国有土地使用权和海域使用金采集的缴纳方式为逐年/季/月缴纳的优化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需求优化-网页版-四项非税收入划转-非税收入缴款通知审核，增加短信提示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程序优化-网页版-【增值税专用发票代开查询及缴款】、【增值税普通发票代开查询及缴款】优化查询时间范围提示内容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程序优化-网页版-【涉税专业服务机构管理套餐】-【其他涉税专业服务机构管理】-【涉税专业服务机构(人员)基本信息采集】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程序优化-客户端-【税费缴纳】初始化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一般注销税务登记增加特色监控2</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程序优化-客户端-【增值税专用发票最高开票限额申请】填写【申请最高开具限额】“十万元”时提示：“纳税人为一址多照或无固定经营场所的纳税人，申请最高开票限额不能大于1000，请修正后再申请。”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程序优化-网页版-申报信息查询-《委托代征税款报告表》-可打印或者导出委托代征税款报告表、明细表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程序优化-客户端-财产和行为税合并纳税申报-【房产税】-【税源采集】-【房产税税源明细】-【新增】房屋所属税务所（科、分局）</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程序优化-新版社保费-用人单位日常缴费工资申报-大企业增量查询通过查询库方式（参数控制）进行查询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开发【涉税专业服务协议信息变更及终止】时需封装接口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程序优化-新版社保费-社保费管理-管理服务-社保费缓缴申请查询：缓缴金额保留小数点2位</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程序优化-网页版-【适用加计抵减政策的声明(10%)】-【销售额计算期起】数据项优化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程序优化-客户端-《增值税及附加税（费）申报（一般纳税人适用）》中《增值税减免税申报明细表》-【免税项目】减免性质优化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需求优化-客户端-Qysds(20220501)电子税务局填报财务资产负债表相关数据强制校验优化的业务需求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需求优化-客户端-（紧急）财产和行为税申报，自动带出减免</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程序优化-客户端-优化【残疾人就业保障金申报】补报残保金功能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省局需求-网页版-增加权限规则。退抵税费申请（误收多缴）、退抵税费申请（入库减免）、退抵税费申请（汇算清缴）跨区税源户和报验户可见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省局需求-客户端-增加权限规则：退抵税费申请（入库减免）、退抵税费申请（汇算清缴）跨区税源户和报验户可见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省局需求-网页版-印制有本单位名称发票功能中发票监制单位栏次修改：辽宁省税务局监制</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增值税制度性留抵接口确认是否修改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新增需求-新版社保费-电子税务局客户端社保费缓缴申请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新增需求-新版社保费-电子税务局客户端社保费缓缴申请查询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新增需求-新版社保费-电子税务局客户端社保费缓缴申请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程序优化-客户端-更正增值税申报表，附表五-本期是否使用小微企业‘六税两费’减证政策和减证政策适用主体自动带出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需求优化-网页版-四项非税收入划转-统计查询功能需要支持县区资源部门的查询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开发增值税制度性留抵时需要封装核心接口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程序优化-网页版-【注销前置办理套餐】-当期及往期应申报税（费）种申报表，未申报记录显示页面优化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程序优化-客户端-【注销前置办理套餐】-当期及往期应申报税（费）种申报表，征收项目：城市维护建设税， 征收品目：市区（增值税附征），申报跳转附加税申报页面优化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程序优化-客户端-【申报更正】《增值税及附加税费申报表（一般纳税人适用）》-《增值税及附加税申报表附列资料五（附加税费情况表）》中相关数据项显示优化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程序优化-新版社保费-用人单位日常缴费工资申报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程序优化-网页版-【企业注册】-【新办纳税人注册】</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程序优化-客户端-【代收代缴车船税申报】模板与核心模板中【代码表】sheet页中E列【税率或单位税额】一致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电子税务局-根据XQ20220252调整录入退抵税费信息功能减免退税模块-辽宁特色</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需求优化-网页版-四项非税收入划转-上传附列资料(合同等相关资料)功能优化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需求优化-网页版-四项非税收入划转-非税收入费源信息确认优化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需求优化-网页版-四项非税收入划转-采集表下载样式优化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需求优化-网页版-四项非税收入划转-非税收入费源信息查询优化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需求优化-网页版-四项非税收入划转-非税收入缴款通知开具优化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需求优化-网页版-四项非税收入划转-对四项非税收入费源采集表中的缴费人联系电话进行校验</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需求优化-网页版-四项非税收入划转-所有非税收入的【申报信息（查询）】增加查询结果“是否竞买保证金”</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需求优化-网页版-四项非税收入划转-海域使用金采集的缴纳方式为”混合缴纳”禁止进行申报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一般注销税务登记增加特色监控接口封装</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增值税留抵抵欠-纳税人办结后，对应文书优化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程序优化-电子税务局社保费-用人单位日常工资申报-现有获取员工信息，增加通过查询库获取信息方式获取，通过参数控制实现，由现场自行确认通过接口获取或查询库查询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程序优化-新版社保费-针对大企业员工信息导入时，大企业员工信息未获取完成前，导入员工工资信息，增加阻断及提示“正在同步数据，请您稍后再进行模板导入”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省局需求-网页版-代开普通发票恢复打印按钮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程序优化-网页版-我要办税-一般退（抵）税管理-退抵税费申请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客户端税收调查-根据测试进行反馈，附文档，并进行优化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需求优化-网页版-Qysds(20220501)电子税务局填报财务资产负债表相关数据强制校验优化的业务需求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需求优化-网页版-四项非税收入划转-四项非税收入项目采集表-减免依据优化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需求优化-网页版-四项非税收入划转-非税收入通用申报进行征收项目的控制</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新增局端功能：注销税务登记监控结果查询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程序优化-客户端-【税费缴纳】-【应征发生日期】优化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客户端-延期申报申请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需求优化-客户端-入库减免跳转功能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需求优化-客户端-系统待办页面功能优化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请封装接口税收调查企业数据采集查询税收调查纳税人（信息表）预处理信息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新增需求-新版社保费-电子税务局社保费缓缴申请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新增需求-新版社保费-电子税务局社保费缓缴申请查询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程序优化-网页版-《适用加计抵减政策的声明(15%)》优化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程序优化-网页版-【申报信息查询(新)】-】：《跨地区经营汇总纳税企业的分支机构年度纳税申报表（2021年版）》优化【打印】功能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程序优化-网页版-【项目部税费预缴】-优化【银联二维码缴税】生成二维码功能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程序优化-客户端-更正《居民企业（查账征收）企业所得税年度申报》-【208软件、集成电路企业类型】数据项优化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程序优化-网页版-我的待办-【增值税发票企业所得税税前扣除状态确认（按户管）】显示状态优化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电子税务局-根据XQ20220252调整录入退抵税费信息功能减免退税模块</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需求优化-网页版-四项非税收入划转-“采集”功能与“审核”功能不能赋予同一个人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需求优化-网页版-四项非税收入划转-新增 辽宁非税采集信息查询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需求优化-网页版-四项非税收入划转-四项非税收入划转支持自然人费源采集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需求优化-网页版-四项非税收入划转-【国有土地使用权出让收入费源信息（查询）】优化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需求优化-网页版-四项非税收入划转-四项非税收入划转采集优化（1）</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需求优化-网页版-四项非税收入划转-四项非税收入划转采集优化（2）</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需求优化-网页版-四项非税收入划转-四项非税收入划转采集优化（3）</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需求优化-网页版-四项非税收入划转-四项非税收入划转采集优化（4）</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需求优化-网页版-四项非税收入划转-国有土地使用权费源信息存在利息优化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程序优化-客户端-【申报更正】-《环境保护税按月计算报表（固体废物适用）》表单</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一般注销税务登记增加特色监控3</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需求优化-网页版-四项非税收入划转-增加税务局端补偿功能【非税收入费源信息审核作废】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需求优化-网页版-四项非税收入划转-四项非税收入划转的申报查询优化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需求优化-网页版-四项非税收入划转-四项非税收入划转采集时分期缴纳监控优化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一般注销税务登记增加特色监控4</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需求优化-网页版-四项非税收入划转-国有土地使用权出让收入费源信息查询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需求优化-网页版-四项非税收入划转-矿产资源专项收入（适用矿业权出让收益）费源信息查询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需求优化-网页版-四项非税收入划转-矿产资源专项收入（适用探矿权采矿权使用费）费源信息查询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需求优化-网页版-四项非税收入划转-海域使用金费源信息查询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需求优化-网页版-四项非税收入划转-无居民海岛使用金费源信息查询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需求优化-网页版-四项非税收入划转-国有土地使用权出让收入申报查询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需求优化-网页版-四项非税收入划转-矿产资源专项收入申报查询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需求优化-网页版-四项非税收入划转-海域使用金费申报查询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需求优化-网页版-四项非税收入划转-国有土地使用权出让收入费源信息作废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需求优化-网页版-四项非税收入划转-国有土地使用权出让收入统计查询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需求优化-网页版-四项非税收入划转-矿产资源专项收入统计查询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需求优化-网页版-四项非税收入划转-海域使用金费统计查询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需求优化-网页版-四项非税收入划转-无居民海岛使用金统计查询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客户端-税收调查-检查优化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需求优化-网页版-四项非税收入划转-非税收入费源信息查询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客户端-税收调查-B2表审核说明指示跳转到对应指标，审核提示弹出的说明与对应指标保持一致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客户端-税收调查审核公式优化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需求优化-网页版-四项非税收入划转-【国有土地使用权出让收入费源信息（查询）】优化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程序优化-新版社保费-纯社保户用户注册-国标行业等字段下拉项优化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程序优化-新版社保费-纯社保户用户注册-9开头纳税人识别号不允许注册</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省局需求-网页版-税收完税证明（文书式）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 申报更正--《居民企业(查账征收)企业所得税年度申报》-【检查】功能优化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需求优化-网页版-四项非税收入划转-国有土地使用权出让收入费源信息采集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需求优化-网页版-四项非税收入划转-矿产资源专项收入（适用矿业权出让收益）费源信息采集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需求优化-网页版-四项非税收入划转-矿产资源专项收入（适用探矿权采矿权使用费）费源信息采集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需求优化-网页版-四项非税收入划转-海域使用金费源信息采集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需求优化-网页版-四项非税收入划转-无居民海岛使用金采集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需求优化-网页版-四项非税收入划转-国有土地使用权出让收入费源信息审核</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需求优化-网页版-四项非税收入划转-矿产资源专项收入（适用矿业权出让收益）费源信息审核</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需求优化-网页版-四项非税收入划转-矿产资源专项收入（适用探矿权采矿权使用费）费源信息审核</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660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需求优化-网页版-四项非税收入划转-海域使用金费源信息审核</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661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需求优化-网页版-四项非税收入划转-无居民海岛使用金审核</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662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需求优化-网页版-四项非税收入划转-国有土地使用权出让收入费源信息作废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663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需求优化-网页版-四项非税收入划转-矿产资源专项收入 （适用矿业权出让收益）费源信息作废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664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需求优化-网页版-四项非税收入划转-矿产资源专项收入（适用探矿权采矿权使用费）费源信息作废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665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需求优化-网页版-四项非税收入划转-海域使用金费源信息作废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666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需求优化-网页版-四项非税收入划转-无居民海岛使用金费源信息作废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667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省局需求-网页版-【财务报告报送与信息采集】-民间非营利组织会计制度财务报表报送与信息采集，《资产负债表》中【年初数】自动带出上年的【年末数】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668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省局需求-客户端-【财务报告报送与信息采集】-民间非营利组织会计制度财务报表报送与信息采集，《资产负债表》中【年初数】自动带出上年的【期末数】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669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客户端-企业所得税税前扣除凭证风险提醒反馈按户管-汇总信息优化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670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程序优化-客户端-《跨地区经营汇总纳税企业的分支机构年度纳税申报（2021年版）》-【跨省总机构行政区划】自动带出数据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671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程序优化-客户端-【申报更正】-2021年《中华人民共和国企业年度关联业务往来汇总表》--【申报】提示:附表《G104000有形资产使用权交易表》中的关联企业名称为空时，关联交易内容必须为空且交易金额必须为0</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672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政策速递数据抽取问题优化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673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辽宁一网通办优化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674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辽宁省电子税务局银联改造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675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程序优化-网页版-一般退（抵）税管理-退抵税费申请-【提退税金类型】选择误收退税（费）场景优化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676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程序优化-客户端-【代收代缴车船税申报】若改车辆已申报过优化错误提示信息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677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程序优化-客户端-《中华人民共和国企业年度关联业务往来汇总表》《G103000无形资产所有权交易表》【境内外关联和非关联无形资产所有权受让合计】规则与核心一致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678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程序优化-网页版-《中华人民共和国企业年度关联业务往来汇总表》《G103000无形资产所有权交易表》【境内外关联和非关联无形资产所有权受让合计】规则与核心一致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679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程序优化-客户端-《关联业务往来年度报告申报》检查功能优化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680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需求优化-网页版-制度性留抵退税网厅受理预审环节增加黑名单，黑名单内纳税人提示高风险暂不予退税</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681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修改-辽宁非税收入自然资源部门采集(更正)业务模块和审核业务模块不能同时授权同一操作人员</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682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省局需求-网页版自然人端-自然人首页增加服务提醒，自然人可对于ysp 暂存或者保存的数据可以进行撤销</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683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省局需求-客户端-本期应申报-增值税及附加税屏蔽查看明细按钮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684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辽宁非税收入自然资源部门采集(更正)业务模块和审核业务模块不能同时授权同一操作人员</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685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程序优化-客户端-【增值税及附加税（费）预缴申报】中的本期是否适用增值税小规模纳税人"六税两费”减征政策项目进行优化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686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程序优化-网页版-企业注册-新办纳税人注册-总分机构信息，邮政编码增加字数校验不超过6位</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687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程序优化-客户端-跨区域涉税事项延期，回执信息进行优化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688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程序优化-网页版-城镇土地使用税房产税税源信息采集】-土地信息中【应税明细】数据项进行优化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689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程序优化-客户端-【居民企业（查账征收）企业所得税年度申报】优化提示详细信息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690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程序优化-客户端-《居民企业（查账征收）企业所得税年度申报》-《A107041高新技术企业优惠情况及明细表》申报提示进行优化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691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程序优化-客户端-2021年度《关联业务往来年度报告申报》表，《G112000境外关联方信息表》【详细信息】数据优化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692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需求优化-网页版-公众服务下“重大税收违法案件查询”修改为“重大税收违法失信主体公布栏”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693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电子税务局社保费管理-用人单位社保费特殊申报中增加应补退费额和减免费额，页面增加应补退费额和减免费额信息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694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电子税务局社保费管理-单位社保费费款缴纳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695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电子税务局社保费管理-用人单位社保费特殊申报中新增加：社保经办机构、单位编码、征集流水号等查询功能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696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电子税务局新版社保费-用人单位社保费申报-增加申报明细中人员信息导出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697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电子税务局新版社保费-用人单位社保费已缴费查询优化显示信息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698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电子税务局新版社保费-用人单位社保费申报情况查询功能中的明细页面中，增加下载社保费申报表功能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699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电子税务局新版社保费-用人单位职工参保信息查询中，显示的数据中无效的参保险种过滤掉</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700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网页版-退抵税费申请-入库减免退抵税，对退抵税费原因类型为：风力发电增值税即征即退，退抵税明细中预算科目：风力发电增值税退税场景进行优化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701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程序优化-网页版-企业所得税年报-资产总额初始化优化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702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程序优化-自然人业务【代开增值税普票查询缴款】申请信息中的查询结果和打印不一致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703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程序优化-自然人-【代开增值税普票查询缴款】-【银联二维码缴款】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704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程序优化-网页版-自然人-代开发票目录下增加扣款异常处理功能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705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程序优化-客户端-【居民企业（查账征收）企业所得税年度申报】-申报及更正【企业所得税年度纳税申报表填报表单】保持与核心一致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706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程序优化-客户端-【财务报告报送与信息采集】已填写报表区域优化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707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程序优化-网页版-【我要办税】-【综合信息报告】-【查看下载电子税务登记证】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708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客户端-财产和行为税-环境保护税税源采集-导入申报减免信息采集优化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709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程序优化-客户端-【常用功能】-【我的提醒】-【请您对企业所得税税前扣除凭证（发票）风险提示（‘按户管’）进行确认】-【确认】功能优化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710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程序优化-客户端-《居民企业（查账征收）企业所得税年度申报》-对附表《A107041高新技术企业优惠情况及明细表》中31行与主表23行校验进行优化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711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程序优化-客户端--【关联业务往来年度报告申报】-【导入】功能优化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712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程序优化-网页版-【发票票种核定】变更或删除功能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713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程序优化-客户端切换到【跨区税源户】-《财产和行为税合并纳税申报》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714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省局需求-网页版-报验户增值税预缴申报带出报验地项目地址。报验地项目地址 取zm-wcjyhdssglzmxx中的WCJYD，且不可修改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715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省局需求-客户端-报验户增值税预缴申报带出报验地项目地址。报验地项目地址 取zm-wcjyhdssglzmxx中的WCJYD，且不可修改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716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省局需求-网页版-报验户增值税预缴申报点击申报校验税务机关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717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省局需求-客户端-报验户增值税预缴申报点击申报校验税务机关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718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程序优化-网页版-变更税务登记-变更法人或财务负责人功能优化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719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省局需求-网页版-先征后返（退）缴回申请-【原退税文书流程实例ID】栏次调整位置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省局需求-客户端-先征后返（退）缴回申请-【原退税文书流程实例ID】栏次调整位置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程序优化-局端网厅受理-申请优化系统功能-可打印申请表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需求优化-客户端-制度性留抵退税的营业收入和资产总额增加单位</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需求优化-网页版-制度性留抵退税的营业收入和资产总额增加单位</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程序优化-网页版-【申报信息查询(新)】《中华人民共和国企业所得税年度纳税申报表（A类）》（A100000）中股东及分红情况显示优化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程序优化-客户端-【申报信息查询(新)】《中华人民共和国企业所得税年度纳税申报表（A类）》（A100000）中股东及分红情况显示优化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程序优化-客户端-增值税及附加税（费）申报（一般纳税人适用）》《增值税及附加税费申报表附列资料二（本期进项税额明细表）》的22行上期留抵税额退税数据项优化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程序优化-客户端-【财务报告报送与信息采集】《所有者权益变动表》【上年金额】数据项优化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程序优化-网页版-【申报信息查询(新)】《财产和行为税纳税申报表》-【减征政策适用主体】数据项优化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729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程序优化-客户端-更正印花税-减征政策适用主体数据项优化</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3.1.1.2.税务人端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辽宁欠税需求-局端-新增一户式欠税归集查询功能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辽宁欠税需求-局端-新增欠税追征管控措施情况统计功能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辽宁欠税需求-局端-新增欠税统计查询（按征收项目）功能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辽宁欠税需求-局端-新增欠税清缴情况统计功能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辽宁欠税需求-局端-新增欠税统计查询功能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征纳互动消息推送“辽宁税务企业号”消息改造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企业微信”纳税人增加标签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需求优化-网页版-四项非税收入划转-局端-非税收入费源信息查询海域使用金费源信息页面显示无居民海岛</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企业微信消息发送（辽宁）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局端-批量加解锁，可以针对（可信注册用户）非电子税务局用户体系下的用户进行锁定。</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局端--将对应许可用户授权的密码重置功能，增加限制：只容许纯社保户使用密码重置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局端--信息表座机号不填写场景下，税收调查统计导出优化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企业微信税务人端优化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企业微信功能优化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辽宁非税收入工会经费认定局端审核修改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代理人员维护--激活人员弹出页面提示内容优化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纳税人绑定校验优化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企业微信消息推送优化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局端--2023税收调查相关功能更新需求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辽宁企业微信税务局局端新增功能-企业微信消息人员推送结果查询，查询接收人员的明细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辽宁企业微信税务局局端新增功能-企业微信绑定人员信息查询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辽宁企业微信税务局局端新增功能-消息发送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电子税务局-局端-修改非税收入费源信息审核作废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电子税务局-局端-修改辽宁非税采集信息查询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重点税源-局端重点税源企业数据审核功能，查看和导出税收表109-120行优化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局端自然人用户信息修改优化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局端-局端导出重点税源文件导入TRAS，税收表202行数据优化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需求优化-税务局端功能优化-四项非税收入划转</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需求优化-网页版-电子税务局优化建议-网厅受理优化（紧急）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局端-金税三期预生产【重点税源数据审核】导出相关数据元转换为万元</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局端-金税三期预生产【重点税源数据审核】导出，【景气表】导出数据相关指标进行万元处理。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辽宁税务企业号加入成员，新增欢迎语功能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一般退（抵）税管理-福利企业退税，局端预审优化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局端-农产品增值税进项税额扣除标准备案-初始化表单信息优化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需求优化-网页版-注销税务登记-（局端）电子税务局注销税务登记监控业务需求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需求内容：增加企业微信入口，纳税人加入成员后扫描“辽宁税务”企业微信，直接进入纳税人信息绑定首页</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局端-纳税信用复评</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需求优化-网页版-四项非税收入划转-税务局端【非税收入费源信息确认】优化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纳税信用补评-局端保存后提交按钮优化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增加修改执法公示栏目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电子税务局“企业微信政策速递”精准推送-绑定首页</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电子税务局“企业微信政策速递”精准推送-纳税人实名认证绑定</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电子税务局“企业微信政策速递”精准推送-用户信息(纳税人)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电子税务局“企业微信政策速递”精准推送--局端增加企业微信推送结果查询（功能）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局端-按户管定时任务优化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电子税务局“企业微信政策速递”精准推送-扫描二维码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局端-纳税信用复评-局端保存提交按钮优化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需求优化-网页版-四项非税收入划转-辽宁非税采集信息查询下载优化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需求优化-网页版-四项非税收入划转-【非税收入费源信息确认】，【非税收入费源信息审核】等模块的附列资料(合同等相关资料) 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需求优化-网页版-四项非税收入划转-非税收入费源信息审核作废优化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程序优化-局端：特困行业缓缴社保费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程序优化-局端-特困行业缓缴社保费信息采集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程序优化-局端-特困行业缓缴社保费信息采集查询-缓缴信息查询时，设置两个行业查询选项，“国标行业”、“缓缴行业”，都不为必选项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程序优化-局端-代开增值税普通发票-局端审批中减免税类型字段优化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需求优化-网页版-四项非税收入划转-辽宁非税采集信息查询优化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需求优化-网页版-四项非税收入划转-新增局端非税收入缴款通知开具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需求优化-网页版-四项非税收入划转-【非税收入费源信息确认】场景1优化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需求优化-网页版-四项非税收入划转-【非税收入费源信息审核】场景2优化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新增局端功能：注销税务登记监控结果查询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需求优化-网页版-四项非税收入划转-非税收入信息确认（外部）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需求优化-网页版-四项非税收入划转-非税收入信息审核（外部）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程序优化-局端-税务师事务所行政登记终止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局端-网厅受理-跨区域涉税事项信息反馈-保存提交优化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电子税务局局端-新增加“特困行业缓缴社保费信息采集”模块，该功能仅限沈阳市各税务机关使用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电子税务局局端--新增加功能-“特困行业缓缴社保费信息采集查询”模块</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3.1.2.总局需求</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3.1.2.1.纳税人端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（1）根据总局需求，对电子税务局社保费职工明细退费业务提出以下详细需求。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①</w:t>
            </w:r>
            <w:r>
              <w:rPr>
                <w:rFonts w:hint="eastAsia" w:ascii="仿宋_GB2312" w:hAnsi="仿宋_GB2312" w:eastAsia="仿宋_GB2312" w:cs="仿宋_GB2312"/>
                <w:kern w:val="2"/>
                <w:sz w:val="21"/>
                <w:szCs w:val="21"/>
                <w:lang w:val="en-US" w:eastAsia="zh-CN" w:bidi="ar-SA"/>
              </w:rPr>
              <w:t>主页面同单位退费，退抵费类型为退费，根据经办机构选择相应税种，根据属期，税票信息进行职工明细查询。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②</w:t>
            </w:r>
            <w:r>
              <w:rPr>
                <w:rFonts w:hint="eastAsia" w:ascii="仿宋_GB2312" w:hAnsi="仿宋_GB2312" w:eastAsia="仿宋_GB2312" w:cs="仿宋_GB2312"/>
                <w:kern w:val="2"/>
                <w:sz w:val="21"/>
                <w:szCs w:val="21"/>
                <w:lang w:val="en-US" w:eastAsia="zh-CN" w:bidi="ar-SA"/>
              </w:rPr>
              <w:t>填写退费基数，进行退费金额计算，规则为：a..退费基数需小于等于缴费基数。b.退费金额：缴费基数*费率-退费基数*调整后费率，需大于0。</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③</w:t>
            </w:r>
            <w:r>
              <w:rPr>
                <w:rFonts w:hint="eastAsia" w:ascii="仿宋_GB2312" w:hAnsi="仿宋_GB2312" w:eastAsia="仿宋_GB2312" w:cs="仿宋_GB2312"/>
                <w:kern w:val="2"/>
                <w:sz w:val="21"/>
                <w:szCs w:val="21"/>
                <w:lang w:val="en-US" w:eastAsia="zh-CN" w:bidi="ar-SA"/>
              </w:rPr>
              <w:t>职工明细退费，全额退费后边可勾选，勾选时退费基数自动带0，但是测试过程中无法手动添0。</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（2）根据总局要求，电子税务局应支持SFZJLX为233（外国人永久居留身份证：外国人永久居留证）办理相应业务，所以涉税专业服务机构（人员）基本信息采集-涉税服务人员信息采集（证件类别）需要优化支持 外国人永久居留证（233）。</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（3）根据总局要求，电子税务局应支持SFZJLX为233（外国人永久居留身份证：（外国人永久居留证）办理相应业务，所以涉税专业服务机构（人员）基本信息采集-涉税服务人员信息采集（证件类别）需要优化支持 外国人永久居留证（233）。</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（4）根据广西六税两费减免优惠需求文档中需求四：</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查询不到企业所得税汇算清缴记录且不符合上面所属新办企业的，“本期是否适用小微企业‘六税两费’减征政策”默认为“否”，“减征政策适用主体”默认为“空”，不允许修改。打开报表提示：“未查询到您相应年度的汇算清缴记录，暂无法享受六税两费优惠政策，若您符合小型微利企业（增值税一般人），请及时进行年度汇算清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由于系统中存在开业设立日期为2022年4月，而税务系统登记日期为2023年3月的业务场景。导致纳税人申报时无法享受到新办企业六税两费减免优惠。这种场景局方认为此类情况也应属于新办企业，应享受到六税两费减免优惠。要求在原有需求四的条件判断基础上，增加登记日期（DJ-NSRXX：DJRQ）的判断：</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①</w:t>
            </w:r>
            <w:r>
              <w:rPr>
                <w:rFonts w:hint="eastAsia" w:ascii="仿宋_GB2312" w:hAnsi="仿宋_GB2312" w:eastAsia="仿宋_GB2312" w:cs="仿宋_GB2312"/>
                <w:kern w:val="2"/>
                <w:sz w:val="21"/>
                <w:szCs w:val="21"/>
                <w:lang w:val="en-US" w:eastAsia="zh-CN" w:bidi="ar-SA"/>
              </w:rPr>
              <w:t>如果登记日期与开业设立日期为同一年则维持原有规则。不可享受优惠且不可修改。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②</w:t>
            </w:r>
            <w:r>
              <w:rPr>
                <w:rFonts w:hint="eastAsia" w:ascii="仿宋_GB2312" w:hAnsi="仿宋_GB2312" w:eastAsia="仿宋_GB2312" w:cs="仿宋_GB2312"/>
                <w:kern w:val="2"/>
                <w:sz w:val="21"/>
                <w:szCs w:val="21"/>
                <w:lang w:val="en-US" w:eastAsia="zh-CN" w:bidi="ar-SA"/>
              </w:rPr>
              <w:t>如果登记日期为本年，则默认享受优惠且可以修改。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（5）根据广西六税两费减免优惠需求文档中需求四：</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查询不到企业所得税汇算清缴记录且不符合上面所属新办企业的，“本期是否适用小微企业‘六税两费’减征政策”默认为“否”，“减征政策适用主体”默认为“空”，不允许修改。打开报表提示：“未查询到您相应年度的汇算清缴记录，暂无法享受六税两费优惠政策，若您符合小型微利企业（增值税一般人），请及时进行年度汇算清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由于系统中存在开业设立日期为2022年4月，而税务系统登记日期为2023年3月的业务场景。导致纳税人申报时无法享受到新办企业六税两费减免优惠。这种场景局方认为此类情况也应属于新办企业，应享受到六税两费减免优惠。所以要求在原有需求四的条件判断基础上，增加登记日期（DJ-NSRXX：DJRQ）的判断：</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①</w:t>
            </w:r>
            <w:r>
              <w:rPr>
                <w:rFonts w:hint="eastAsia" w:ascii="仿宋_GB2312" w:hAnsi="仿宋_GB2312" w:eastAsia="仿宋_GB2312" w:cs="仿宋_GB2312"/>
                <w:kern w:val="2"/>
                <w:sz w:val="21"/>
                <w:szCs w:val="21"/>
                <w:lang w:val="en-US" w:eastAsia="zh-CN" w:bidi="ar-SA"/>
              </w:rPr>
              <w:t>、如果登记日期与开业设立日期为同一年则维持原有规则。不可享受优惠且不可修改。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②</w:t>
            </w:r>
            <w:r>
              <w:rPr>
                <w:rFonts w:hint="eastAsia" w:ascii="仿宋_GB2312" w:hAnsi="仿宋_GB2312" w:eastAsia="仿宋_GB2312" w:cs="仿宋_GB2312"/>
                <w:kern w:val="2"/>
                <w:sz w:val="21"/>
                <w:szCs w:val="21"/>
                <w:lang w:val="en-US" w:eastAsia="zh-CN" w:bidi="ar-SA"/>
              </w:rPr>
              <w:t>、如果登记日期为本年，则默认享受优惠且可以修改。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（6）根据总局要求，对已完成后台切换的纳税人，当其通过电子税务局申请领用纸质发票 (数电纸票) 时，在发票领用页面，系统将弹窗告知纳税人纸质发票开具渠道的变化及具体的开票路径实现对完成切换后还有纸票使用需求的纳税人精准触达。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当纳税人存在有效的数电票票种（14），同时票种核定子表（HX-FP.FP-PZHDXXZB）的使用增值税纸质发票类型（SYZZSZZFPLX）为“2”（使用电票平台纸票）的，点击“网上领票”弹出提示如下：</w:t>
            </w:r>
          </w:p>
          <w:p>
            <w:pPr>
              <w:widowControl w:val="0"/>
              <w:spacing w:line="400" w:lineRule="exact"/>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尊敬的纳税人：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您好！您目前使用增值税纸质发票类型是“使用电票平台纸票”，您此次领用的纸质发票需用通过电子税务局【开票业务】功能开具。如有其他疑问请联系当地主管税务机关。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（7）根据总局要求，对已完成后台切换的纳税人，当其通过电子税务局申请领用纸质发票 (数电纸票) 时，在发票领用页面，系统将弹窗告知纳税人纸质发票开具渠道的变化及具体的开票路径实现对完成切换后还有纸票使用需求的纳税人精准送达。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当纳税人存在有效的数电票票种（14），同时票种核定子表（HX-FP.FP-PZHDXXZB）的使用增值税纸质发票类型（SYZZSZZFPLX）为“2”（使用电票平台纸票）的，点击“网上领票”弹出提示如下：</w:t>
            </w:r>
          </w:p>
          <w:p>
            <w:pPr>
              <w:widowControl w:val="0"/>
              <w:spacing w:line="400" w:lineRule="exact"/>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尊敬的纳税人：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您好！您目前使用增值税纸质发票类型是“使用电票平台纸票”，您此次领用的纸质发票需用通过电子税务局【开票业务】功能开具。如有其他疑问请联系当地主管税务机关。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（8）根据局方需求，代开增值税专用（普通）发票，纳税人存在数电票资格提示：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您已有全电发票的开票资格不可以代开专票。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根据总局要求，现在全电发票名称都已修改为数电票。所以提示内容需要修改为：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代开增值税专用发票：您已有数电票的开票资格不可以代开专票。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代开增值税普通发票：您已有数电票的开票资格不可以代开普票。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（9）根据局方需求，代开增值税专用（普通）发票，纳税人存在数电票资格提示：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您已有全电发票的开票资格不可以代开专票。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根据总局要求，现在全电发票名称都已修改为数电票。提示内容需要修改为：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代开增值税专用发票：您已有数电票的开票资格不可以代开专票。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代开增值税普通发票：您已有数电票的开票资格不可以代开普票。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（10）数电票上线后，除灰名单外所有的纳税人都需要通过电子税务局的数字账户勾选发票。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但受特殊原因影响，目前辽宁省成品油功能暂未上线，部分新归类为成品油企业的纳税人在加入灰名单之前，错误的在电子税务局税务数字账户勾选了发票，形成了库存，后续无法通过电票平台开具发票。需要通过总局运维将纳税人库存信息删除后，根据总局工作安排将纳税人加入灰名单。操作周期较长，影响纳税人正常经营活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针对此问题，建议电子税务局根据成品油归类结果，对成品油企业进行阻断，并提示：“尊敬的纳税人：您已经归类成为“”（“”为归类名称），暂时需要通过综合服务平台完成相关发票、库存管理工作。请您联系主管税务机关，按照总局工作进度将您维护到数电票用票灰名单后到综合服务平台完成相关操作。”</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需要增加参数进行控制。</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（11）数电票上线后，除灰名单外所有的纳税人都需要通过电子税务局的数字账户勾选发票。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但受特殊原因影响，目前辽宁省成品油功能暂未上线，部分新归类为成品油企业的纳税人在加入灰名单之前，错误的在电子税务局税务数字账户勾选了发票，形成了库存，后续无法通过电票平台开具发票。需要通过总局运维将纳税人库存信息删除后，根据总局工作安排将纳税人加入灰名单。操作周期较长，影响纳税人正常经营活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针对此问题，建议电子税务局根据成品油归类结果，对成品油企业进行阻断，并提示：“尊敬的纳税人：您已经归类成为“”（“”为归类名称），暂时需要通过综合服务平台完成相关发票、库存管理工作。请您联系主管税务机关，按照总局工作进度将您维护到数电票用票灰名单后到综合服务平台完成相关操作。”</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为了让纳税人更早接触和使用新版可信登录，登录（旧版）增加提示及跳转功能，当纳税人点击登录（旧版）时，弹出提示：依据国家税务总局要求，辽宁省电子税务局即将启用新版统一身份认证登录体系，取消原有旧版登录方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（13）根据总局下发新重点税源规则，局方要求如下。</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①</w:t>
            </w:r>
            <w:r>
              <w:rPr>
                <w:rFonts w:hint="eastAsia" w:ascii="仿宋_GB2312" w:hAnsi="仿宋_GB2312" w:eastAsia="仿宋_GB2312" w:cs="仿宋_GB2312"/>
                <w:kern w:val="2"/>
                <w:sz w:val="21"/>
                <w:szCs w:val="21"/>
                <w:lang w:val="en-US" w:eastAsia="zh-CN" w:bidi="ar-SA"/>
              </w:rPr>
              <w:t>参照“2023年任务修改说明”进行电子税务局重点税源数据补充采集模块修改。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②</w:t>
            </w:r>
            <w:r>
              <w:rPr>
                <w:rFonts w:hint="eastAsia" w:ascii="仿宋_GB2312" w:hAnsi="仿宋_GB2312" w:eastAsia="仿宋_GB2312" w:cs="仿宋_GB2312"/>
                <w:kern w:val="2"/>
                <w:sz w:val="21"/>
                <w:szCs w:val="21"/>
                <w:lang w:val="en-US" w:eastAsia="zh-CN" w:bidi="ar-SA"/>
              </w:rPr>
              <w:t>注意：电子税务局客户端和网页，局端同步修正。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③</w:t>
            </w:r>
            <w:r>
              <w:rPr>
                <w:rFonts w:hint="eastAsia" w:ascii="仿宋_GB2312" w:hAnsi="仿宋_GB2312" w:eastAsia="仿宋_GB2312" w:cs="仿宋_GB2312"/>
                <w:kern w:val="2"/>
                <w:sz w:val="21"/>
                <w:szCs w:val="21"/>
                <w:lang w:val="en-US" w:eastAsia="zh-CN" w:bidi="ar-SA"/>
              </w:rPr>
              <w:t>表样：2023年TRAS任务指标。注意修改指标对应的填报说明及行号同步修改。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④审核公式：参照公式修改对照表，注意：TRAS任务中各别指标含有自动求和计算公式和自动选取指标数据公式。（季度月份自动选取财务指标数据）。注意对应审核公式调整后，关联审核指标指向应与一一对应。</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⑤导出格式：导出文本格式优化，应按新表样指标进行导出测试。</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⑥主要指标预测为增加指标。注意相关公式调整（含自动计算指标）。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⑦2022年电子税务局重点税源补充信息采集功能操作手册更新。（企业端、税务局端）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注意：全部开发内容均与单机版TRAS任务保持一致。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（14）根据总局下发新重点税源规则，局方要求如下。</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①参照“2023年任务修改说明”进行电子税务局重点税源数据补充采集模块修改。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②注意：电子税务局客户端和网页，局端同步修正。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③表样：2023年TRAS任务指标（见表样对照表）。注意修改指标对应的填报说明及行号同步修改。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④审核公式：参照公式修改对照表，注意：TRAS任务中各别指标含有自动求和计算公式和自动选取指标数据公式。（季度月份自动选取财务指标数据）。注意对应审核公式调整后，关联审核指标指向应与一一对应。</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⑤导出格式：导出文本格式优化，应按新表样指标进行导出测试。</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⑥主要指标预测为增加指标。注意相关公式调整（含自动计算指标）。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⑦2022年电子税务局重点税源补充信息采集功能操作手册更新。（企业端、税务局端）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注意：全部开发内容均与单机版TRAS任务保持一致。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（15）根据总局《国家税务总局网络安全和信息化领导小组办公室关于制发电子税务局部分行政事业性收费缓缴政策相关功能建设规范的通知》，需要对城镇垃圾处理费协办部门缴款时 增加缓缴提示，城镇垃圾处理费协办部门缴款时，如果该笔是缓缴费款且缴费人准备提前缴纳费款时，沿用总局行政事业性收费缓缴政策，提示:您所选择的应征信息包含缓缴内容，且未到缓缴到期日，是否放弃享受《关于缓缴涉及企业、个体工商户部分行政事业性收费的公告》缓缴3个月政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如果缴费人选择“是”，则缴费人必须选择“提前缴款理由”，而当缴费人选择 提前缴款理由为 2|相关部门办证需要 和 5|其他 时弹出提示并阻断：如放弃缓缴理由为相关部门办证需求或其他，请联系主管税务机关办理缴款。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城镇垃圾处理费协办部门也需要根据《国家税务总局网络安全和信息化领导小组办公室关于制发电子税务局部分行政事业性收费缓缴政策相关功能建设规范的通知》同步缓缴政策，在城镇垃圾处理费协办部门申报及缴款缓缴政策需求实现之前，暂停使用城镇垃圾处理费协办部门申报、城镇垃圾处理费缴款2个功能，未升级之前点击此两个功能时系统弹出提示并阻断。</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（17）需求优化-网页版-四项非税收入划转-国有土地使用权出让收入费源信息（采集）等五个采集表，表样发生变化，增加采集项目信息，需同步修改。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国有土地采集表总局提供新的采集表增加了采集项，并提供增加的采集项表格，要求进行比对后同步增加到采集表上。</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（18）电子税务局“企业微信政策速递”精准推送--局端推送“消息内容”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消息源来自总局下发的政策速递，原数据进行加工。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纳税人查看信息（政策速递）数据项包括：标题，政策文号，发文单位，发文日期，文件名称（点击文件名称可超链接总局链接网站）。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纳税人和税务人查看信息内容为“消息内容”。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（19）程序优化-网页版-增值税及附加税（费）申报（小规模纳税人适用），填写第一行弹出应征增值税不含税销售额中的提示信息需要修改。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原：根据国家税务总局13号公告，增值税小规模纳税义务发生时间在2020年03月01日至2022年12月31日，纳税人取得应税销售收入适用减按1%征收率征收增值税，按照1%征收率开具增值税发票。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新：根据国家税务总局13号公告，增值税小规模纳税义务发生时间在2020年03月01日至2022年3月31日，纳税人取得应税销售收入适用减按1%征收率征收增值税，按照1%征收率开具增值税发票。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（20）程序优化-客户端-增值税及附加税（费）申报（小规模纳税人适用），填写第一行弹出应征增值税不含税销售额中的提示信息需要修改。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原：根据国家税务总局13号公告，增值税小规模纳税义务发生时间在2020年03月01日至2021年12月31日，纳税人取得应税销售收入适用减按1%征收率征收增值税，按照1%征收率开具增值税发票。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新：根据国家税务总局13号公告，增值税小规模纳税义务发生时间在2020年03月01日至2022年3月31日，纳税人取得应税销售收入适用减按1%征收率征收增值税，按照1%征收率开具增值税发票。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（21）客户端-税收统计调查相关资料-根据总局针对2022年税收调查下发单机版任务修改说明0613，针对以下规则进行优化。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①修改企业表第20行“本年进项税转出额”填表说明。</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②修改企业表第41行指标名称。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③修改企业表第41行计算公式。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④删除企业表合理性审核ZJ00001210中的F46。</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⑤修改企业表审核公式的审核标记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⑥修改企业表分析表55 生产企业外购原材料等非固定资产的支出与增值税进项税额应同时有数 “外购非固定资产的货物、加工费用、修理修配及运费支出”的指标公式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⑦修改企业表审核分析表第55项过滤条件。</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将分析表公式“55 生产企业外购原材料等非固定资产的支出与增值税进行税额应同时有数”中的(FIND(XXB-&gt;D11,"02")&gt;20)修改为(FIND(XXB-&gt;D11,"02")&lt;0)。</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（22）客户端-税收统计调查相关资料-根据总局针对2022年税收调查下发单机版任务0506任务版本号为20220506，针对规则进行优化。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（23）WEB-税收统计调查相关资料-根据总局针对2022年税收调查下发单机版任务0506任务版本号为20220506，针对规则进行优化。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根据总局需求，对电子税务局社保费职工明细退费业务提出以下详细需求。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①</w:t>
            </w:r>
            <w:r>
              <w:rPr>
                <w:rFonts w:hint="eastAsia" w:ascii="仿宋_GB2312" w:hAnsi="仿宋_GB2312" w:eastAsia="仿宋_GB2312" w:cs="仿宋_GB2312"/>
                <w:kern w:val="2"/>
                <w:sz w:val="21"/>
                <w:szCs w:val="21"/>
                <w:lang w:val="en-US" w:eastAsia="zh-CN" w:bidi="ar-SA"/>
              </w:rPr>
              <w:t>主页面同单位退费，退抵费类型为退费，根据经办机构选择相应税种，根据属期，税票信息进行职工明细查询。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②</w:t>
            </w:r>
            <w:r>
              <w:rPr>
                <w:rFonts w:hint="eastAsia" w:ascii="仿宋_GB2312" w:hAnsi="仿宋_GB2312" w:eastAsia="仿宋_GB2312" w:cs="仿宋_GB2312"/>
                <w:kern w:val="2"/>
                <w:sz w:val="21"/>
                <w:szCs w:val="21"/>
                <w:lang w:val="en-US" w:eastAsia="zh-CN" w:bidi="ar-SA"/>
              </w:rPr>
              <w:t>填写退费基数，进行退费金额计算，规则为：a..退费基数需小于等于缴费基数。b.退费金额：缴费基数*费率-退费基数*调整后费率，需大于0。</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③</w:t>
            </w:r>
            <w:r>
              <w:rPr>
                <w:rFonts w:hint="eastAsia" w:ascii="仿宋_GB2312" w:hAnsi="仿宋_GB2312" w:eastAsia="仿宋_GB2312" w:cs="仿宋_GB2312"/>
                <w:kern w:val="2"/>
                <w:sz w:val="21"/>
                <w:szCs w:val="21"/>
                <w:lang w:val="en-US" w:eastAsia="zh-CN" w:bidi="ar-SA"/>
              </w:rPr>
              <w:t>职工明细退费，全额退费后边可勾选，勾选时退费基数自动带0，但是测试过程中无法手动添0。</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3.1.2.2.税务人端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（1）根据总局下发新重点税源规则，局方要求如下。</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参照“2023年任务修改说明”进行电子税务局重点税源数据补充采集模块修改。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注意：电子税务局客户端和网页，局端同步修正。</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表样：2023年TRAS任务指标（见表样对照表）。注意修改指标对应的填报说明及行号同步修改。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审核公式：参照公式修改对照表，注意：TRAS任务中各别指标含有自动求和计算公式和自动选取指标数据公式。（季度月份自动选取财务指标数据）。注意对应审核公式调整后，关联审核指标指向应与一一对应。</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导出格式：导出文本格式优化，应按新表样指标进行导出测试。</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主要指标预测为增加指标。注意相关公式调整（含自动计算指标）。</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2022年电子税务局重点税源补充信息采集功能操作手册更新。（企业端、税务局端）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注意：全部开发内容均与单机版TRAS任务保持一致。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电子税务局“企业微信政策速递”精准推送--局端推送“消息内容”消息源来自总局下发的政策速递，原数据进行加工。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纳税人查看信息（政策速递）数据项包括：标题，政策文号，发文单位，发文日期，文件名称（点击文件名称可超链接总局链接网站）。纳税人和税务人查看信息内容为“消息内容”。</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3.2.社保费掌上办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登录“辽宁社保缴费”（新增提示信息，应使用“既”字），人脸识别功能。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微信办理身份选择【我是参保人】取人脸识别获取的人员信息，【我是经办人】需要录入他人姓名及身份证件号码。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功能首页（变化社保缴费模块按照四个征收品目及一个退休人员缴纳大额医疗保险设置五个功能，查询及证明开具模块保持不变）。</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如选灵活养老保险，带出如下界面。（缴费档次由原来的“档次名称---缴费基数”例如“缴费档次60%--3830.00”，修改为“缴费档次--实际应缴金额/月（年）”，“例如：缴费档次60%-766.00/月”）。</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选中上图点击下一步如下图展示，分别选择日常缴费和特殊缴费，即可对列出的全部缴费信息进行缴费。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缴费完成弹出提示“缴费成功后三个工作日后，可通过“社保费完税证明开具”模块或办税服务厅打印完税（费）凭证”，缴费完成后返回办理身份选择界面。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在每月的批扣时间段内的功能优化。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在缴费人进入“灵活就业养老保险”“灵活就业医疗保险”“城乡居民养老保险”“城乡居民医疗保险”模块，选择“日常缴费”功能时，系统弹出提示：“尊敬的缴费人：目前正处在签约扣款期内，若您已与银行签订了签约扣款协议，进一步操作可能会导致扣款失败，建议2-5个工作日后查询银行卡扣款情况。若未缴费成功，再通过本功能缴纳费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目前现进入“掌上办”缴费界面后，默认带出的属期及费款为全部勾选，默认为全部不勾选，由缴费人自行勾选要缴费的属期。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掌上办界面中“登记信息不存在”提示，修改为“登记信息不存在，需经办机构向税务机关发送参保登记信息后方可缴费”。“已存在申报记录但是不存在对应的缴费基数记录出现异常！”提示修改为“已存在申报记录，但缴费基数记录出现异常，请联系主管税务机关运维处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“不存在待缴费信息”提示修改为“已缴纳该属期费款或正在签约扣款期，请核实后再进行缴费。”</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3.3.新电子税务局集成接入本地特色业务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辽宁电子税务局房地产一体化</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关于辽宁重点税源新增需求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电子税务局税收调查企业数据采集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辽宁车购税申报（4S店）</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辽宁网络发票项目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一键零申报（适用于零收入纳税人）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跨区迁移套餐（适用沈阳）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一键发票验旧（京东）</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工商银行，招商银行项目，开发“对公账户预约开户”功能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发票邮寄</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征纳互动消息推送“辽宁税务企业号”消息改造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【辽宁非税】公路路产赔（补）偿费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【辽宁非税】城镇垃圾处理费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【辽宁非税】工会经费费种认定管理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【辽宁非税】土地出让金管理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【辽宁非税】土地闲置费管理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【辽宁非税】水土保持补偿费收入管理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【辽宁非税】人防办行政事业性收费收入管理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【辽宁非税】河道采砂权出让价款管理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【辽宁非税】草原植被恢复费管理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【辽宁非税】森林植被恢复费管理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【辽宁非税】国有土地使用权出让收入管理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【辽宁非税】矿产资源专项收入管理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【辽宁非税】无居民海岛使用金费源管理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辽宁社保费管理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辽宁“表易填”特色需求，申报功能改造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辽宁“三代”税款手续费申请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28</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企业微信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29</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对接市监工商登记数据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30</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对接辽宁政务平台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31</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对接辽宁建行“惠懂你”项目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5G智慧视屏客服</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33</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风险疑点信息查询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异常数据信息查询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查看下载电子税务登记证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跨区域建筑服务简易预缴申报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中小企业因疫情影响减征房产税和城镇土地使用税核准信息维护</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3.4.税收低风险提醒优化完善应用</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3.4.1.税费低风险智能提醒事项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法定代表人未进行实名采集提醒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财务负责人未进行实名采集提醒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办税人未进行实名采集提醒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风险纳税人未实名办税提醒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纳税人未领用电子印章提醒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纳税人企业所得税年度汇算清缴未申报提醒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征期后纳税人仍未申报提醒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征期后纳税人仍未缴纳税费提醒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纳税人低受票提醒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纳税人错误享受小微企业优惠提醒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纳税人既有多缴又有欠税提醒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纳税人既有留抵又有欠税提醒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制造业中小微企业缓税到期未缴纳提醒</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3.4.2.税务端智能工单派送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待分配调查巡查提醒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调查巡查手动分配启动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调查巡查自动分配启动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调查巡查批量启动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调查巡查派发提醒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调查巡查反馈</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调查巡查反馈通知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纳税人分类分级管理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调查巡查工作量查询统计</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3.4.3.电子工作平台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消息推送管理</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3.5.“先税后证”功能扩展完善</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3.5.1.个人所得税采集信息预填、新增、修改、查看等功能优化改造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根据业务需求，增加如下数据项：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①</w:t>
            </w:r>
            <w:r>
              <w:rPr>
                <w:rFonts w:hint="eastAsia" w:ascii="仿宋_GB2312" w:hAnsi="仿宋_GB2312" w:eastAsia="仿宋_GB2312" w:cs="仿宋_GB2312"/>
                <w:kern w:val="2"/>
                <w:sz w:val="21"/>
                <w:szCs w:val="21"/>
                <w:lang w:val="en-US" w:eastAsia="zh-CN" w:bidi="ar-SA"/>
              </w:rPr>
              <w:t>被投资企业栏增加字段：拥有规定资产的企业转让时净资产公允价值、转让时企业账面净资产金额、实收资本、资本公积、盈余公积、未分配利润、其他、备注。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②</w:t>
            </w:r>
            <w:r>
              <w:rPr>
                <w:rFonts w:hint="eastAsia" w:ascii="仿宋_GB2312" w:hAnsi="仿宋_GB2312" w:eastAsia="仿宋_GB2312" w:cs="仿宋_GB2312"/>
                <w:kern w:val="2"/>
                <w:sz w:val="21"/>
                <w:szCs w:val="21"/>
                <w:lang w:val="en-US" w:eastAsia="zh-CN" w:bidi="ar-SA"/>
              </w:rPr>
              <w:t>收入与扣除信息增加字段：收入总额、免税收入、财产原值、允许扣除的税费、投资抵扣、准予扣除的捐赠额、其他，删除字段：收入形式、收入类别、转让股权占企业总股权比例的分布。</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③</w:t>
            </w:r>
            <w:r>
              <w:rPr>
                <w:rFonts w:hint="eastAsia" w:ascii="仿宋_GB2312" w:hAnsi="仿宋_GB2312" w:eastAsia="仿宋_GB2312" w:cs="仿宋_GB2312"/>
                <w:kern w:val="2"/>
                <w:sz w:val="21"/>
                <w:szCs w:val="21"/>
                <w:lang w:val="en-US" w:eastAsia="zh-CN" w:bidi="ar-SA"/>
              </w:rPr>
              <w:t>税款计税栏增加字段：减免税额、已缴税额、应补（退）税额，删除字段：转让方、征收项目。</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3.5.2.提示提醒优化改造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个人股权转让个人所得税核查结果提醒优化改造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个人股权转让个人所得税退税通知优化改造</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3.5.3.查询统计优化改造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个人股权转让个人所得税信息采集查询优化改造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个人股权转让个人所得税税款缴纳统计优化改造</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3.5.4.个人所得税采集信息预填、新增、修改、查看等功能优化改造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根据业务需求，增加如下数据项：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①</w:t>
            </w:r>
            <w:r>
              <w:rPr>
                <w:rFonts w:hint="eastAsia" w:ascii="仿宋_GB2312" w:hAnsi="仿宋_GB2312" w:eastAsia="仿宋_GB2312" w:cs="仿宋_GB2312"/>
                <w:kern w:val="2"/>
                <w:sz w:val="21"/>
                <w:szCs w:val="21"/>
                <w:lang w:val="en-US" w:eastAsia="zh-CN" w:bidi="ar-SA"/>
              </w:rPr>
              <w:t>被投资企业栏增加字段：拥有规定资产的企业转让时净资产公允价值、转让时企业账面净资产金额、实收资本、资本公积、盈余公积、未分配利润、其他、备注。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②</w:t>
            </w:r>
            <w:r>
              <w:rPr>
                <w:rFonts w:hint="eastAsia" w:ascii="仿宋_GB2312" w:hAnsi="仿宋_GB2312" w:eastAsia="仿宋_GB2312" w:cs="仿宋_GB2312"/>
                <w:kern w:val="2"/>
                <w:sz w:val="21"/>
                <w:szCs w:val="21"/>
                <w:lang w:val="en-US" w:eastAsia="zh-CN" w:bidi="ar-SA"/>
              </w:rPr>
              <w:t>收入与扣除信息增加字段：收入总额、免税收入、财产原值、允许扣除的税费、投资抵扣、准予扣除的捐赠额、其他，删除字段：收入形式、收入类别、转让股权占企业总股权比例的分布。</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③</w:t>
            </w:r>
            <w:r>
              <w:rPr>
                <w:rFonts w:hint="eastAsia" w:ascii="仿宋_GB2312" w:hAnsi="仿宋_GB2312" w:eastAsia="仿宋_GB2312" w:cs="仿宋_GB2312"/>
                <w:kern w:val="2"/>
                <w:sz w:val="21"/>
                <w:szCs w:val="21"/>
                <w:lang w:val="en-US" w:eastAsia="zh-CN" w:bidi="ar-SA"/>
              </w:rPr>
              <w:t>税款计税栏增加字段：减免税额、已缴税额、应补（退）税额，删除字段：转让方、征收项目。</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3.5.5.新增个人股权转让个人所得税信息采集（预填报）功能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自动从ITS系统获取个人股权转让个人所得税信息采集，完成数据项映射，自动进行预填，无需手工一项一项采集。</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3.5.6.风险总览（查询）优化改造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风险明细数据查询（列表）功能调整：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①</w:t>
            </w:r>
            <w:r>
              <w:rPr>
                <w:rFonts w:hint="eastAsia" w:ascii="仿宋_GB2312" w:hAnsi="仿宋_GB2312" w:eastAsia="仿宋_GB2312" w:cs="仿宋_GB2312"/>
                <w:kern w:val="2"/>
                <w:sz w:val="21"/>
                <w:szCs w:val="21"/>
                <w:lang w:val="en-US" w:eastAsia="zh-CN" w:bidi="ar-SA"/>
              </w:rPr>
              <w:t>被投资企业栏增加字段：拥有规定资产的企业转让时净资产公允价值、转让时企业账面净资产金额、实收资本、资本公积、盈余公积、未分配利润、其他、备注。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②</w:t>
            </w:r>
            <w:r>
              <w:rPr>
                <w:rFonts w:hint="eastAsia" w:ascii="仿宋_GB2312" w:hAnsi="仿宋_GB2312" w:eastAsia="仿宋_GB2312" w:cs="仿宋_GB2312"/>
                <w:kern w:val="2"/>
                <w:sz w:val="21"/>
                <w:szCs w:val="21"/>
                <w:lang w:val="en-US" w:eastAsia="zh-CN" w:bidi="ar-SA"/>
              </w:rPr>
              <w:t>收入与扣除信息增加字段：收入总额、免税收入、财产原值、允许扣除的税费、投资抵扣、准予扣除的捐赠额、其他，删除字段：收入形式、收入类别、转让股权占企业总股权比例的分布。</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③</w:t>
            </w:r>
            <w:r>
              <w:rPr>
                <w:rFonts w:hint="eastAsia" w:ascii="仿宋_GB2312" w:hAnsi="仿宋_GB2312" w:eastAsia="仿宋_GB2312" w:cs="仿宋_GB2312"/>
                <w:kern w:val="2"/>
                <w:sz w:val="21"/>
                <w:szCs w:val="21"/>
                <w:lang w:val="en-US" w:eastAsia="zh-CN" w:bidi="ar-SA"/>
              </w:rPr>
              <w:t>税款计税栏增加字段：减免税额、已缴税额、应补（退）税额，删除字段：转让方、征收项目。"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风险明细数据查询（导出）功能调整：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①</w:t>
            </w:r>
            <w:r>
              <w:rPr>
                <w:rFonts w:hint="eastAsia" w:ascii="仿宋_GB2312" w:hAnsi="仿宋_GB2312" w:eastAsia="仿宋_GB2312" w:cs="仿宋_GB2312"/>
                <w:kern w:val="2"/>
                <w:sz w:val="21"/>
                <w:szCs w:val="21"/>
                <w:lang w:val="en-US" w:eastAsia="zh-CN" w:bidi="ar-SA"/>
              </w:rPr>
              <w:t>被投资企业栏增加字段：拥有规定资产的企业转让时净资产公允价值、转让时企业账面净资产金额、实收资本、资本公积、盈余公积、未分配利润、其他、备注。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②</w:t>
            </w:r>
            <w:r>
              <w:rPr>
                <w:rFonts w:hint="eastAsia" w:ascii="仿宋_GB2312" w:hAnsi="仿宋_GB2312" w:eastAsia="仿宋_GB2312" w:cs="仿宋_GB2312"/>
                <w:kern w:val="2"/>
                <w:sz w:val="21"/>
                <w:szCs w:val="21"/>
                <w:lang w:val="en-US" w:eastAsia="zh-CN" w:bidi="ar-SA"/>
              </w:rPr>
              <w:t>收入与扣除信息增加字段：收入总额、免税收入、财产原值、允许扣除的税费、投资抵扣、准予扣除的捐赠额、其他，删除字段：收入形式、收入类别、转让股权占企业总股权比例的分布。</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③</w:t>
            </w:r>
            <w:r>
              <w:rPr>
                <w:rFonts w:hint="eastAsia" w:ascii="仿宋_GB2312" w:hAnsi="仿宋_GB2312" w:eastAsia="仿宋_GB2312" w:cs="仿宋_GB2312"/>
                <w:kern w:val="2"/>
                <w:sz w:val="21"/>
                <w:szCs w:val="21"/>
                <w:lang w:val="en-US" w:eastAsia="zh-CN" w:bidi="ar-SA"/>
              </w:rPr>
              <w:t>税款计税栏增加字段：减免税额、已缴税额、应补（退）税额，删除字段：转让方、征收项目。</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3.5.7.事中风险核查待办（审核）优化改造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事中风险核查待办（审核）详情页调整：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1、被投资企业栏增加字段：拥有规定资产的企业转让时净资产公允价值、转让时企业账面净资产金额、实收资本、资本公积、盈余公积、未分配利润、其他、备注。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2、收入与扣除信息增加字段：收入总额、免税收入、财产原值、允许扣除的税费、投资抵扣、准予扣除的捐赠额、其他，删除字段：收入形式、收入类别、转让股权占企业总股权比例的分布。</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3、税款计税栏增加字段：减免税额、已缴税额、应补（退）税额，删除字段：转让方、征收项目。</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3.5.8.查询统计优化改造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股权转让办理数据查询调整：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①</w:t>
            </w:r>
            <w:r>
              <w:rPr>
                <w:rFonts w:hint="eastAsia" w:ascii="仿宋_GB2312" w:hAnsi="仿宋_GB2312" w:eastAsia="仿宋_GB2312" w:cs="仿宋_GB2312"/>
                <w:kern w:val="2"/>
                <w:sz w:val="21"/>
                <w:szCs w:val="21"/>
                <w:lang w:val="en-US" w:eastAsia="zh-CN" w:bidi="ar-SA"/>
              </w:rPr>
              <w:t>被投资企业栏增加字段：拥有规定资产的企业转让时净资产公允价值、转让时企业账面净资产金额、实收资本、资本公积、盈余公积、未分配利润、其他、备注。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②</w:t>
            </w:r>
            <w:r>
              <w:rPr>
                <w:rFonts w:hint="eastAsia" w:ascii="仿宋_GB2312" w:hAnsi="仿宋_GB2312" w:eastAsia="仿宋_GB2312" w:cs="仿宋_GB2312"/>
                <w:kern w:val="2"/>
                <w:sz w:val="21"/>
                <w:szCs w:val="21"/>
                <w:lang w:val="en-US" w:eastAsia="zh-CN" w:bidi="ar-SA"/>
              </w:rPr>
              <w:t>收入与扣除信息增加字段：收入总额、免税收入、财产原值、允许扣除的税费、投资抵扣、准予扣除的捐赠额、其他，删除字段：收入形式、收入类别、转让股权占企业总股权比例的分布。</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ascii="Calibri" w:hAnsi="Calibri" w:eastAsia="仿宋_GB2312" w:cs="Calibri"/>
                <w:kern w:val="2"/>
                <w:sz w:val="21"/>
                <w:szCs w:val="21"/>
                <w:lang w:val="en-US" w:eastAsia="zh-CN" w:bidi="ar-SA"/>
              </w:rPr>
              <w:t>③</w:t>
            </w:r>
            <w:r>
              <w:rPr>
                <w:rFonts w:hint="eastAsia" w:ascii="仿宋_GB2312" w:hAnsi="仿宋_GB2312" w:eastAsia="仿宋_GB2312" w:cs="仿宋_GB2312"/>
                <w:kern w:val="2"/>
                <w:sz w:val="21"/>
                <w:szCs w:val="21"/>
                <w:lang w:val="en-US" w:eastAsia="zh-CN" w:bidi="ar-SA"/>
              </w:rPr>
              <w:t>税款计税栏增加字段：减免税额、已缴税额、应补（退）税额，删除字段：转让方、征收项目。</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3.5.9.新增区块链上链情况统计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对股权转让交易上链数据进行分市局、区县统计</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3.5.10.个人股权转让个人所得税信息采集（列表）接口改造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个人股权转让个人所得税信息采集（列表）接口调整：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增加列表查询字段拥有规定资产的企业转让时净资产公允价值、转让时企业账面净资产金额、实收资本、资本公积、盈余公积、未分配利润、其他、备注。</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3.5.11.个人股权转让个人所得税信息采集（新增）接口改造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个人股权转让个人所得税信息采集（新增）接口调整：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加数据保存字段被投资企业栏增加字段：拥有规定资产的企业转让时净资产公允价值、转让时企业账面净资产金额、实收资本、资本公积、盈余公积、未分配利润、其他、备注。收入与扣除信息增加字段：收入总额、免税收入、财产原值、允许扣除的税费、投资抵扣、准予扣除的捐赠额、其他，删除字段：收入形式、收入类别、转让股权占企业总股权比例的分布。税款计税栏增加字段：减免税额、已缴税额、应补（退）税额，删除字段：转让方、征收项目。</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3.5.12.个人股权转让个人所得税信息采集（修改）接口改造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个人股权转让个人所得税信息采集（修改）接口调整：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加数据保存字段被投资企业栏增加字段：拥有规定资产的企业转让时净资产公允价值、转让时企业账面净资产金额、实收资本、资本公积、盈余公积、未分配利润、其他、备注。收入与扣除信息增加字段：收入总额、免税收入、财产原值、允许扣除的税费、投资抵扣、准予扣除的捐赠额、其他，删除字段：收入形式、收入类别、转让股权占企业总股权比例的分布。税款计税栏增加字段：减免税额、已缴税额、应补（退）税额，删除字段：转让方、征收项目。</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3.5.13.个人股权转让个人所得税信息采集（查看）接口改造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个人股权转让个人所得税信息采集（查看）接口调整：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加数据查询字段被投资企业栏增加字段：拥有规定资产的企业转让时净资产公允价值、转让时企业账面净资产金额、实收资本、资本公积、盈余公积、未分配利润、其他、备注。收入与扣除信息增加字段：收入总额、免税收入、财产原值、允许扣除的税费、投资抵扣、准予扣除的捐赠额、其他，删除字段：收入形式、收入类别、转让股权占企业总股权比例的分布。税款计税栏增加字段：减免税额、已缴税额、应补（退）税额，删除字段：转让方、征收项目。</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3.5.14.税务数据上传及数据接收优化改造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根据调整数据项对交互接口进行优化改造</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3.5.15.市监局上传及数据接收优化改造</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根据调整数据项对交互接口进行优化改造</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3.5.16.获取个税ITS个人股权转让采集数据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通过外部交换对接ITS，获取个人股权转让采集数据、转让方欠税清册数据、受让方欠税清册数据、通过ITS申报的股权转让个税税额数据</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3.6.不动产交易登记+税务区块链优化完善</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3.6.1.增量房线上业务待办功能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增加区块链套次查询（全省）功能，获取全省房屋套次信息用于辅助税务人员审核纳税人申报套次信息。</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3.6.2.存量房线上业务待办功能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增加区块链套次查询（全省）功能，获取全省房屋套次信息用于辅助税务人员审核纳税人申报套次信息。</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3.6.3.不动产房屋套次查询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不动产房屋套次查询功能模块增加区块链查询（全省）功能，获取全省房屋套次信息用于辅助税务人员审核纳税人申报套次信息。</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3.6.4.契税免税联系单上链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1、对于线上免税的不动产交易业务，系统自动识别并开具电子版契税免税单</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2、将契税免税单信息上链，并通过税务区块链推送至各区县不动产部门</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3.6.5.在线上传不动产交易材料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1、提供不动产材料上传功能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2、增加材料查看功能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3、增量房线上业务待办功能模块详情界面增加纳税人上传附件材料的查看功能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4、存量房线上业务待办功能模块详情界面增加纳税人上传的附件材料查看功能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5、增量房线上已接收业务查询功能模块详情界面增加纳税人上传附件材料的查看功能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6、存量房线上已接收业务功能模块详情界面增加纳税人上传的附件材料查看功能</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3.6.6.数据交换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通过区块链对接与自然资源厅，获取全省房屋套次数据，包括接口定义、开发、联调等</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通过区块链对接公安，获取公安部门关于户籍数据，包括接口定义、开发、联调等</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通过区块链对接民政，获取民政部门关于婚姻数据，包括接口定义、开发、联调等</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3.7.非税收入费源管控子系统（原互联互通平台）优化完善</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3.7.1.公路路产赔（补）偿费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涉及优化电子税务局用户体系、登记管理、申报优化等需求，实现了金税三期核心征管系统对交通运输主管部门授权开户，交通运输主管部门通过授权账号登录电子税务局，进行异地纳税人跨区税源登记、公路路产赔（补）偿费代理申报、缴费、证明开具、缴款异常处理、申报作废、申报信息查询、查询统计等等。</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3.7.1.1..公路路产赔（补）偿费（税务端）</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3.7.1.2..非税许可用户授权</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用于为交通运输主管部门开通电子税务局第三方用户，用于交通运输部门协助税务机关征收公路路产赔（补）偿费。</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3.7.1.3.公路路产赔（补）偿费申报查询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用于税务局端对公路路产陪（补偿）费的申报信息查询包含前台申报、代理申报、自行申报等。</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3.7.2.公路路产赔（补）偿费（纳税人端）</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3.7.2.1.公路路产赔（补）偿费（交通部门）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操作人员信息维护</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当交通运输主管部门需要多个操作人员时，使用此功能进行添加操作员。</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跨区税源登记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当缴费人与当前交通运输部门所管辖的区域不符时使用此功能，当缴费人为省内企业时从核心征管系统中获取缴费人主体信息。当缴费人为省外企业时，调用总局大数据接口获取省外纳税人主体信息。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公路路产赔（补）偿费申报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1.业务规则：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系统根据缴费人所属地与当前交通部门人员所辖范围自动动判断该缴费人是否应办理跨区税源登记，如果缴费人所属地与交通部门人员所辖范围不符时则提示需办理跨区税源登记后才可以办理。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选择缴费人类型为单位，输入统一社会信用代码点击回车，会自动判断缴费人登记信息。所选择缴费人与当前交通部门所辖范围不符，则提示缴费人进行跨区税源登记（省外缴费人调用总局大数据接口获取缴费人登记信息）如果相符则初始化缴费人相关信息，交通部门根据实际情况填写费款信息，点击申报即可。申报成功后会跳转缴费界面，根据实际情况选择缴费方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选择缴费人类型为个人，输入身份证件号码点击回车，会自动判断缴费人信息。所选择缴费人没有自然人登记信息则触发自然人间接登记页面，录入自然人信息。如果有自然人登记信息则初始化缴费人相关信息。交通部门根据实际情况填写费款信息，点击申报即可。申报成功后会跳转缴费界面，根据实际情况选择缴费方式。</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3.7.2.2.公路路产赔（补）偿费缴款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 xml:space="preserve">  申报成功后，使用此功能进行缴款，支持三方协议缴费、银行端查询缴费、银联二维码缴费。</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3.7.2.3.公路路产赔(补)偿费缴费证明开具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缴费人在完成费款缴纳后进入此功能后输入缴费人的社会信用代码及日期查询出信息后进行开具电子完税证明。</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3.7.2.4.公路路产赔（补）偿费扣款异常处理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此功能用于扣款失败处理后重新进行缴费。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2.业务规则：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扣款状态为交易状态不明，则不允许处理，需联系费款所属税务机关进行确认。</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3.7.2.5.公路路产赔（补）偿费申报信息查询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选择申报日期，输入缴费人统一社会信用代码点击回车带出缴费人信息后点击查询。可以查询到缴费人的申报信息，并进行快捷操作（证明开具、缴款、申报作废等）。</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3.7.2.6.公路路产赔（补）偿费申报作废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选择申报日期，输入缴费人统一社会信用代码点击回车带出缴费人信息后点击查询，可以查询到申报信息，可以对已申报未缴款的申报信息进行作废。</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3.7.2.7.公路路产赔补偿费缴费查询统计</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1、业务需求：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查询条件根据当前交通部门对应征收子目进行过滤。</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选择查询日期，可以根据时间段查到该交通部门对应的征收子目的缴费信息。也可输入纳税人识别号对单独一个缴费人进行单独查询。</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3.7.3.公路路产赔（补）偿费自行申报（企业）</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3.7.3.1.公路路产赔（补）偿费自行申报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进入自行申报模块，需先选择“费款发生地”，缴费人选择的费款发生地行政区划必须与当前缴费人登记信息的主管税务机关行政区划保持一致。点击确定后即可进入到申报页面。根据缴费的交通部门对应的征收子目进行选择申报。申报成功后会跳转缴费界面，根据实际情况选择缴费方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w:t>
            </w:r>
            <w:r>
              <w:rPr>
                <w:rFonts w:hint="eastAsia" w:ascii="仿宋_GB2312" w:hAnsi="仿宋_GB2312" w:eastAsia="仿宋_GB2312" w:cs="仿宋_GB2312"/>
                <w:kern w:val="2"/>
                <w:sz w:val="21"/>
                <w:szCs w:val="21"/>
                <w:lang w:val="en-US" w:eastAsia="zh-CN" w:bidi="ar-SA"/>
              </w:rPr>
              <w:tab/>
            </w:r>
            <w:r>
              <w:rPr>
                <w:rFonts w:hint="eastAsia" w:ascii="仿宋_GB2312" w:hAnsi="仿宋_GB2312" w:eastAsia="仿宋_GB2312" w:cs="仿宋_GB2312"/>
                <w:kern w:val="2"/>
                <w:sz w:val="21"/>
                <w:szCs w:val="21"/>
                <w:lang w:val="en-US" w:eastAsia="zh-CN" w:bidi="ar-SA"/>
              </w:rPr>
              <w:t>业务规则：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缴费人登记信息的主管税务机关行政区划与费款发生地的行政区划不一致时，无法进行申报，需要到主管税务机关或者交通部门进行跨区税源登记后，通过电子税务局进行用户切换到跨区税源户后进行申报。</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3.7.3.2.公路路产赔(补)偿费缴费证明开具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缴费人在完成费款缴纳后进入此功能后输入缴费人的社会信用代码及日期查询出信息后进行开具电子完税证明。</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3.7.4.公路路产赔（补）偿费自行申报（自然人）</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3.7.4.1.公路路产赔（补）偿费自行申报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进入自行申报模块，需先选择“费款发生地”，缴费人选择的费款发生地行政区划必须与当前缴费人登记信息的主管税务机关行政区划保持一致。点击确定后即可进入到申报页面。根据缴费的交通部门对应的征收子目进行选择申报。申报成功后会跳转缴费界面，根据实际情况选择缴费方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2、业务规则：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缴费人行政区划与费款发生地的行政区划不一致时，无法进行申报，由于自然人没有主管税务机关，需要自然人在电子税务局行政区划税务机关选择功能中选择对应的行政区划与税务机关后进入申报页面选择对应费款发生地，根据缴费的交通部门对应的征收子目进行选择申报。</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3.7.5.公路路产赔（补）偿费（移动办税APP）</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3.7.5.1.公路路产赔（补）偿费申报（交运协办）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1、业务规则：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系统根据缴费人所属地与当前交通部门人员所辖范围自动动判断该缴费人是否应办理跨区税源登记，如果缴费人所属地与交通部门人员所辖范围不符时则提示需办理跨区税源登记后才可以办理。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选择缴费人类型为单位，输入统一社会信用代码点击回车，会自动判断缴费人登记信息。所选择缴费人与当前交通部门所辖范围不符，则提示缴费人进行跨区税源登记（省外缴费人调用总局大数据接口获取缴费人登记信息）如果相符则初始化缴费人相关信息，交通部门根据实际情况填写费款信息，点击申报即可。申报成功后会跳转缴费界面，根据实际情况选择缴费方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选择缴费人类型为个人，输入身份证件号码点击回车，会自动判断缴费人信息。所选择缴费人没有自然人登记信息则触发自然人间接登记页面，录入自然人信息。如果有自然人登记信息则初始化缴费人相关信息。交通部门根据实际情况填写费款信息，点击申报即可。申报成功后会跳转缴费界面，根据实际情况选择缴费方式。</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3.7.5.2.公路路产赔（补）偿费申报作废（交运协办）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输入缴费人统一社会信用代码带出缴费人信息后点击查询，可以查询到申报信息，可以对已申报未缴款的申报信息进行作废。</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3.7.5.3.公路路产赔（补）偿费申报信息查询（交运协办）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输入缴费人统一社会信用代码带出缴费人信息后点击查询。可以查询到缴费人的申报信息，如果申报尚未缴款，还可以通过申报下的“缴费”、“申报作废”进行快捷操作。</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3.7.5.4.公路路产赔（补）偿费申报税费缴纳（交运协办）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申报成功后，使用此功能进行缴款，支持三方协议支付、银联支付、支付宝、微信支付。</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3.7.5.5.公路路产赔（补）偿费申报扣款异常处理（交运协办）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此功能用于扣款失败处理后重新进行缴费。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2、业务规则：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扣款状态为交易状态不明，则不允许处理，需联系费款所属税务机关进行确认。</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3.7.5.6.公路路产赔（补）偿费申报电子完税证明查询（交运协办）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缴费人缴费成功并开具过电子完税证明，可以通过此功能进行电子完税证明查询。</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3.7.6.公路路产赔（补）偿费自行申报（企业）</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3.7.6.1.公路路产赔（补）偿费申报（企业自行申报）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进入自行申报模块，需先选择“费款发生地”，缴费人选择的费款发生地行政区划必须与当前缴费人登记信息的主管税务机关行政区划保持一致。点击确定后即可进入到申报页面。根据缴费的交通部门对应的征收子目进行选择申报。申报成功后会跳转缴费界面，根据实际情况选择缴费方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2、业务规则：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缴费人登记信息的主管税务机关行政区划与费款发生地的行政区划不一致时，无法进行申报，需要到主管税务机关或者交通部门进行跨区税源登记后进行申报。</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3.7.6.2.公路路产赔（补）偿费申报电子完税证明查询（自行申报）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缴费人缴费成功并开具过电子完税证明，可以通过此功能进行电子完税证明查询。</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3.7.6.3.公路路产赔（补）偿费申报（自然人自行申报）</w:t>
            </w:r>
          </w:p>
          <w:p>
            <w:pPr>
              <w:widowControl w:val="0"/>
              <w:tabs>
                <w:tab w:val="left" w:pos="3086"/>
              </w:tabs>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r>
              <w:rPr>
                <w:rFonts w:hint="eastAsia" w:ascii="仿宋_GB2312" w:hAnsi="仿宋_GB2312" w:eastAsia="仿宋_GB2312" w:cs="仿宋_GB2312"/>
                <w:kern w:val="2"/>
                <w:sz w:val="21"/>
                <w:szCs w:val="21"/>
                <w:lang w:val="en-US" w:eastAsia="zh-CN" w:bidi="ar-SA"/>
              </w:rPr>
              <w:tab/>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进入自行申报模块，需先选择“费款发生地”，缴费人选择的费款发生地行政区划(交通部门的行政区划)，选择费款所属税务机关，根据缴费的交通部门对应的征收子目进行选择申报。申报成功后会跳转缴费界面，根据实际情况选择缴费方式。</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3.7.6.4.公路路产赔（补）偿费申报电子完税证明查询（自行申报）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缴费人缴费成功并开具过电子完税证明，可以通过此功能进行电子完税证明查询。</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3.7.7.非税收入通用申报</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3.7.7.1.水土保持补偿费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按照国务院关于非税收入征管职责划转的有关要求，自2021年1月1日起，水土保持补偿费由水行政主管部门（含审批委托单位）划转至税务部门征收。</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各级税务部门要会同财政部门、水行政主管部门按照“便民、高效”的原则，持续优化办事缴费流程，以电子税务局为载体，推行“非接触式”办税，切实方便缴费人缴费。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水土保持补偿费划转至税务部门征收后，税务机关按照属地管理原则确定主管税务机关。征期在2021年度、所属期为2020年度的上述收入，收缴及汇算清缴工作继续由原执收单位负责。以前年度应缴未缴的收入，原执收单位审核确认后，通过税务部门征缴入库。其征收范围、征收对象、征收标准、收入分成及使用等政策仍按照现行规定执行。划转后，各级财政部门不安排代扣代缴、代收代缴和委托代征经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1、业务规则：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水土保持补偿费申报暂不做税（费）种认定，所属期起止日期为申报日期。申报表内的征收项目、征收品目及征收子目必录。按照属地管理原则确定主管税务机关，即项目（活动）所在地的县（市、区）级税务机关为主管税务机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进入非税收入通用申报，所属期起止日期选择申报日期，选择征收品目水土保持补偿费收入后，依次选择城市、区县、主管税务机关。根据《水土保持补偿费缴纳通知书》以此选择征收品目与征收子目。申报成功后会跳转缴费界面，根据实际情况选择缴费方式。</w:t>
            </w:r>
          </w:p>
          <w:p>
            <w:pPr>
              <w:keepNext/>
              <w:keepLines/>
              <w:widowControl w:val="0"/>
              <w:numPr>
                <w:ilvl w:val="3"/>
                <w:numId w:val="0"/>
              </w:numPr>
              <w:spacing w:before="280" w:after="290" w:line="400" w:lineRule="exact"/>
              <w:jc w:val="both"/>
              <w:outlineLvl w:val="3"/>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3.7.7.2.防空地下室易地建设费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按照国务院关于非税收入征管职责划转的有关要求，自2021年1月1日起，防空地下室易地建设费由人防部门（含审批委托单位）划转至税务部门征收。</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各级税务部门要会同财政部门、人防部门部门按照“便民、高效”的原则，持续优化办事缴费流程，以电子税务局为载体，推行“非接触式”办税，切实方便缴费人缴费。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防空地下室易地建设费划转至税务部门征收后，税务机关按照属地管理原则确定主管税务机关。征期在2021年度、所属期为2020年度的上述收入，收缴及汇算清缴工作继续由原执收单位负责。以前年度应缴未缴的收入，原执收单位审核确认后，通过税务部门征缴入库。其征收范围、征收对象、征收标准、收入分成及使用等政策仍按照现行规定执行。划转后，各级财政部门不安排代扣代缴、代收代缴和委托代征经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1、业务规则：</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目前防空地下室易地建设费暂不做税（费）种认定，所属期起止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时间为申报日期；申报表内的征收项目、征收品目必录，主管税务机关为铁岭调兵山市、昌图县、西丰县、开原市、清河区税务局的征收子目必录；按照属地管理原则确定主管税务机关，即项目所在地的县区级税务机关为主管税务机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2、功能描述：</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进入非税收入通用申报，所属期起止日期选择申报日期，选择征收品目人防办行政事业性收费收入后，依次选择城市、区县、主管税务机关。根据《缴纳防空地下室易地建设费通知书》以此选择征收品目与征收子目。申报成功后会跳转缴费界面，根据实际情况选择缴费方式。</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3.8.环境保护税智能预填</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3.8.1.数据比对</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需要将省生态环境厅交换的排污许可证信息存量数据进行清洗、转化、匹配，形成可与税务信息比对的格式，其中数据匹配环节包括系统匹配及人工匹配处理过程；将比对后的排污许可证信息与征管核心中环保税税源采集信息进行比对，对其中未进行环境保护税税源信息采集的纳税人数据，根据环保税税源采集信息字段进行梳理形成清册，作为智能预填的基础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数据比对后，进行数据论证，经多轮比对和验证无误后，投入使用。</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3.8.2.自动生成预填表及审核</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根据总局环保税税源信息采集表格式，利用比对后的排污许可证信息系统自动生成环境保护税基础信息采集表、大气和水污染物基础信息表、产排污系数基础信息采集表等3张税源采集表预填数据。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开发建设环境保护税预填数据审核功能，支持纳税人对预填数据进行查询、审核、下载等操作。</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3.8.3.消息推送及待办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系统自动生成税源预填表后，通过微信、电子税务局等方式，向纳税人推送消息，提醒纳税人及时审核办理。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根据预填报生成结果，在电子税务局自动生成待办任务，提示并引导纳税人进行审核，在审核后进入环保税税源信息采集模块自动预填数据，纳税人一键提交保存。</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3.8.4.税源基础采集信息智能预填</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将生成的税源基础采集信息预填表推送至电子税务局纳税人端自动展现预填数据，生成环境保护税税源信息数据。</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通过获取到的自动监测数据，逐条将自动监测的排口信息与税源采集表的税源编号进行匹配，形成污染物排放口与税源编号的关系对照表。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根据预填产生的环境保护税税源信息，定期按纳税人的申报属期自动生成申报计算及减免信息，供纳税人勾选申报。</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3.9.移动办税APP</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3.9.1.自然人办税功能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快捷申报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代开申请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实名信息补录</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实名信息变更</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代开增值税普通发票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个人不动产出租增值税专票代开</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个人不动产出租增值税普票代开</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增值税专用发票代开查询与缴款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增值税普通发票代开查询与缴款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代开发票申报作废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增量房销售信息采集及申报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增量房交易状态查询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存量房销售信息采集及申报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存量房交易状态查询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房产交易电子税收完税证明查询（表格式）</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公路路产赔补（偿）费申报电子完税证明查询（自行申报）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公路路产赔补（偿）费申报（自然人申报）</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3.9.2.自然人社保功能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灵活就业基本养老保险</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灵活就业基本医疗保险（含大额医疗保险）</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城乡居民基本养老保险（含原新农保）</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城乡居民基本医疗保险（含原农合）</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参保信息查询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社保费已缴费信息查询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批扣协议查询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社保费缴费证明开具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社保费完税证明开具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社保费完税证明开具-补打</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通知公告</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3.9.3.自然人服务功能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我的提醒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纳税人满意度调查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纳服投诉</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预约办税</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办税评价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信用等级A类纳税人公告</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纳税人学堂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税收政策及解读</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办税指南</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热点问题</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办税日历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办税地图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发票验证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电子完税证明查验（二维码）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税务检查证查验</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电子完税证明查询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A级纳税信用级别查询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涉税专业服务机构信息公告和查询</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3.9.3.首页功能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搜索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扫一扫</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我的信息</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我的待办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我的预约</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快捷申报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代开申请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发票申领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通知公告</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3.9.4.办税功能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个人信息保护及人脸识别告知同意书查询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代开增值税专用发票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代开增值税普通发票</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个人不动产出租增值税专票代开</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个人不动产出租增值税普票代开</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增值税专用发票代开查询与缴款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增值税普通发票代开查询与缴款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代开发票申请作废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一键零申报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公路路产补（偿）费申报（交运协办）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公路路产补（偿）费申报（企业自行申报）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公路路产补（偿）费申报作废（交运协办）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公路路产补（偿）费申报申报信息查询（交运协办）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公路路产补（偿）费申报扣款异常处理（交运协办）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公路路产补（偿）费申报电子完税证明查询（交运协办）</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公路路产补（偿）费申报电子完税证明查询（自行申报）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公路路产补（偿）费申报（自然人）</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城镇垃圾处理费（自行申报）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城镇垃圾处理费（协办申报）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城镇垃圾处理费（缴费凭证查询）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城镇垃圾处理费（协办费款缴纳）</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城镇垃圾处理费（申报作废）</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城镇垃圾处理费（缴费凭证查询）</w:t>
            </w:r>
          </w:p>
          <w:p>
            <w:pPr>
              <w:keepNext/>
              <w:keepLines/>
              <w:widowControl w:val="0"/>
              <w:spacing w:before="260" w:after="260" w:line="400" w:lineRule="exact"/>
              <w:jc w:val="both"/>
              <w:outlineLvl w:val="2"/>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3.9.5.服务功能</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我的提醒</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纳税人满意度调查</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纳税人需求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纳服投诉</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预约办税</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办税评价</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纳税人学堂</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税收政策及解读</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办税指南</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热点问题</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办税日历</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办税地图</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发票信息查询发票验证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电子完税证明查验（二维码）</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电子完税证明查询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A级纳税信用级别查询</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涉税专业服务机构信息公告和查询</w:t>
            </w:r>
          </w:p>
          <w:p>
            <w:pPr>
              <w:keepNext/>
              <w:keepLines/>
              <w:widowControl w:val="0"/>
              <w:spacing w:before="340" w:after="330" w:line="400" w:lineRule="exact"/>
              <w:jc w:val="both"/>
              <w:outlineLvl w:val="0"/>
              <w:rPr>
                <w:rFonts w:ascii="仿宋_GB2312" w:hAnsi="仿宋_GB2312" w:eastAsia="仿宋_GB2312" w:cs="仿宋_GB2312"/>
                <w:kern w:val="2"/>
                <w:sz w:val="21"/>
                <w:szCs w:val="21"/>
                <w:lang w:val="en-US" w:eastAsia="zh-CN" w:bidi="ar-SA"/>
              </w:rPr>
            </w:pPr>
            <w:bookmarkStart w:id="74" w:name="_Toc256000007"/>
            <w:bookmarkStart w:id="75" w:name="_Toc168406562"/>
            <w:r>
              <w:rPr>
                <w:rFonts w:hint="eastAsia" w:ascii="仿宋_GB2312" w:hAnsi="仿宋_GB2312" w:eastAsia="仿宋_GB2312" w:cs="仿宋_GB2312"/>
                <w:kern w:val="2"/>
                <w:sz w:val="21"/>
                <w:szCs w:val="21"/>
                <w:lang w:val="en-US" w:eastAsia="zh-CN" w:bidi="ar-SA"/>
              </w:rPr>
              <w:t>四、项目实施要求</w:t>
            </w:r>
            <w:bookmarkEnd w:id="74"/>
            <w:bookmarkEnd w:id="75"/>
          </w:p>
          <w:p>
            <w:pPr>
              <w:widowControl w:val="0"/>
              <w:numPr>
                <w:ilvl w:val="1"/>
                <w:numId w:val="0"/>
              </w:numPr>
              <w:spacing w:line="400" w:lineRule="exact"/>
              <w:jc w:val="left"/>
              <w:outlineLvl w:val="1"/>
              <w:rPr>
                <w:rFonts w:ascii="仿宋_GB2312" w:hAnsi="仿宋_GB2312" w:eastAsia="仿宋_GB2312" w:cs="仿宋_GB2312"/>
                <w:kern w:val="2"/>
                <w:sz w:val="21"/>
                <w:szCs w:val="21"/>
                <w:lang w:val="en-US" w:eastAsia="zh-CN" w:bidi="ar-SA"/>
              </w:rPr>
            </w:pPr>
            <w:bookmarkStart w:id="76" w:name="_Toc168406563"/>
            <w:r>
              <w:rPr>
                <w:rFonts w:ascii="仿宋_GB2312" w:hAnsi="仿宋_GB2312" w:eastAsia="仿宋_GB2312" w:cs="仿宋_GB2312"/>
                <w:kern w:val="2"/>
                <w:sz w:val="21"/>
                <w:szCs w:val="21"/>
                <w:lang w:val="en-US" w:eastAsia="zh-CN" w:bidi="ar-SA"/>
              </w:rPr>
              <w:t>4.1.总体要求</w:t>
            </w:r>
            <w:bookmarkEnd w:id="76"/>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（1）中标人应按照采购需求的要求提供详细的技术建议书。中标人提供的各项系统功能和性能应完全符合采购人指明的标准。对于本文未规定的有关系统性能参数，中标人应提出建议，并陈述其理由。</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（2）中标人在其技术建议书中，对需求中所提各项要求能否实现与满足，应逐项诚实地予以说明和答复。中标人亦可根据自己的产品技术性能具体情况，在建议书中提出建议，并附详细资料和说明。</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（3）采购需求应视为保证运行所需的最低要求，如有遗漏，中标人应予以补充，否则一旦中标将认为中标人认同遗漏部分，并免费提供。</w:t>
            </w:r>
          </w:p>
          <w:p>
            <w:pPr>
              <w:widowControl w:val="0"/>
              <w:numPr>
                <w:ilvl w:val="1"/>
                <w:numId w:val="0"/>
              </w:numPr>
              <w:spacing w:line="400" w:lineRule="exact"/>
              <w:jc w:val="left"/>
              <w:outlineLvl w:val="1"/>
              <w:rPr>
                <w:rFonts w:ascii="仿宋_GB2312" w:hAnsi="仿宋_GB2312" w:eastAsia="仿宋_GB2312" w:cs="仿宋_GB2312"/>
                <w:kern w:val="2"/>
                <w:sz w:val="21"/>
                <w:szCs w:val="21"/>
                <w:lang w:val="en-US" w:eastAsia="zh-CN" w:bidi="ar-SA"/>
              </w:rPr>
            </w:pPr>
            <w:bookmarkStart w:id="77" w:name="_Toc168406564"/>
            <w:r>
              <w:rPr>
                <w:rFonts w:ascii="仿宋_GB2312" w:hAnsi="仿宋_GB2312" w:eastAsia="仿宋_GB2312" w:cs="仿宋_GB2312"/>
                <w:kern w:val="2"/>
                <w:sz w:val="21"/>
                <w:szCs w:val="21"/>
                <w:lang w:val="en-US" w:eastAsia="zh-CN" w:bidi="ar-SA"/>
              </w:rPr>
              <w:t>4.2.服务管理要求</w:t>
            </w:r>
            <w:bookmarkEnd w:id="77"/>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（1）在项目服务期间内，中标人需提供至少</w:t>
            </w:r>
            <w:r>
              <w:rPr>
                <w:rFonts w:hint="eastAsia" w:ascii="仿宋_GB2312" w:hAnsi="仿宋_GB2312" w:eastAsia="仿宋_GB2312" w:cs="仿宋_GB2312"/>
                <w:kern w:val="2"/>
                <w:sz w:val="21"/>
                <w:szCs w:val="21"/>
                <w:lang w:val="en-US" w:eastAsia="zh-CN" w:bidi="ar-SA"/>
              </w:rPr>
              <w:t>10人</w:t>
            </w:r>
            <w:r>
              <w:rPr>
                <w:rFonts w:hint="eastAsia" w:ascii="仿宋_GB2312" w:hAnsi="仿宋_GB2312" w:eastAsia="仿宋_GB2312" w:cs="仿宋_GB2312"/>
                <w:kern w:val="2"/>
                <w:sz w:val="21"/>
                <w:szCs w:val="21"/>
                <w:lang w:val="zh-CN" w:eastAsia="zh-CN" w:bidi="ar-SA"/>
              </w:rPr>
              <w:t>驻场服务（驻场服务地点由采购人指定），以及7×24的（星期一至星期日，每天24小时）响应服务。重大事故按照应急响应要求，半小时实质响应、</w:t>
            </w:r>
            <w:r>
              <w:rPr>
                <w:rFonts w:hint="eastAsia" w:ascii="仿宋_GB2312" w:hAnsi="仿宋_GB2312" w:eastAsia="仿宋_GB2312" w:cs="仿宋_GB2312"/>
                <w:kern w:val="2"/>
                <w:sz w:val="21"/>
                <w:szCs w:val="21"/>
                <w:lang w:val="en-US" w:eastAsia="zh-CN" w:bidi="ar-SA"/>
              </w:rPr>
              <w:t>1</w:t>
            </w:r>
            <w:r>
              <w:rPr>
                <w:rFonts w:hint="eastAsia" w:ascii="仿宋_GB2312" w:hAnsi="仿宋_GB2312" w:eastAsia="仿宋_GB2312" w:cs="仿宋_GB2312"/>
                <w:kern w:val="2"/>
                <w:sz w:val="21"/>
                <w:szCs w:val="21"/>
                <w:lang w:val="zh-CN" w:eastAsia="zh-CN" w:bidi="ar-SA"/>
              </w:rPr>
              <w:t>小时到达现场、</w:t>
            </w:r>
            <w:r>
              <w:rPr>
                <w:rFonts w:hint="eastAsia" w:ascii="仿宋_GB2312" w:hAnsi="仿宋_GB2312" w:eastAsia="仿宋_GB2312" w:cs="仿宋_GB2312"/>
                <w:kern w:val="2"/>
                <w:sz w:val="21"/>
                <w:szCs w:val="21"/>
                <w:lang w:val="en-US" w:eastAsia="zh-CN" w:bidi="ar-SA"/>
              </w:rPr>
              <w:t>2</w:t>
            </w:r>
            <w:r>
              <w:rPr>
                <w:rFonts w:hint="eastAsia" w:ascii="仿宋_GB2312" w:hAnsi="仿宋_GB2312" w:eastAsia="仿宋_GB2312" w:cs="仿宋_GB2312"/>
                <w:kern w:val="2"/>
                <w:sz w:val="21"/>
                <w:szCs w:val="21"/>
                <w:lang w:val="zh-CN" w:eastAsia="zh-CN" w:bidi="ar-SA"/>
              </w:rPr>
              <w:t>小时解决问题。</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（2）节假日及业务关键时点的非工作时间根据需要安排足够数量的人员值班。</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（3）在服务期间，对新增的业务需求（或业务需求变更），应评估工作量，并由采购人审核确认；服务工作结束后，须提交总结报告，由采购人进行评估验收。</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4）中标人应按照辽宁省税务局有关需求管理过程规定，规范需求管理过程，在需求分析时，应覆盖所有业务和关联系统，满足需求覆盖度和追溯性，执行业务需求提交、业务需求评审、需求跟踪等三项活动，按照文件模板来撰写或维护相应产出物。</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（5）中标人应按照辽宁省税务局有关测试管理过程规定执行测试流程，并按照文件模板来撰写或维护测试产出物（必备测试产出物包括但不限于测试用例、缺陷跟踪表、测试报告），确保测试质量。</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（6）中标人应配合采购人做好服务人员管理，准确填写并及时更新员工一览表等。中标人应保证派出人员的稳定，在合同到期或申请离职时，必须提前</w:t>
            </w:r>
            <w:r>
              <w:rPr>
                <w:rFonts w:hint="eastAsia" w:ascii="仿宋_GB2312" w:hAnsi="仿宋_GB2312" w:eastAsia="仿宋_GB2312" w:cs="仿宋_GB2312"/>
                <w:kern w:val="2"/>
                <w:sz w:val="21"/>
                <w:szCs w:val="21"/>
                <w:lang w:val="en-US" w:eastAsia="zh-CN" w:bidi="ar-SA"/>
              </w:rPr>
              <w:t>1</w:t>
            </w:r>
            <w:r>
              <w:rPr>
                <w:rFonts w:hint="eastAsia" w:ascii="仿宋_GB2312" w:hAnsi="仿宋_GB2312" w:eastAsia="仿宋_GB2312" w:cs="仿宋_GB2312"/>
                <w:kern w:val="2"/>
                <w:sz w:val="21"/>
                <w:szCs w:val="21"/>
                <w:lang w:val="zh-CN" w:eastAsia="zh-CN" w:bidi="ar-SA"/>
              </w:rPr>
              <w:t>个月书面通知辽宁省税务局，并立即从后备人员库中经考核后，选择合格人员进行工作交接，确保正常工作不受影响，如果因中标人无法保证人员的连续性所造成的全部损失由中标人承担，并从费用中扣除。</w:t>
            </w:r>
          </w:p>
          <w:p>
            <w:pPr>
              <w:keepNext/>
              <w:keepLines/>
              <w:widowControl w:val="0"/>
              <w:spacing w:before="340" w:after="330" w:line="400" w:lineRule="exact"/>
              <w:jc w:val="both"/>
              <w:outlineLvl w:val="0"/>
              <w:rPr>
                <w:rFonts w:ascii="仿宋_GB2312" w:hAnsi="仿宋_GB2312" w:eastAsia="仿宋_GB2312" w:cs="仿宋_GB2312"/>
                <w:kern w:val="2"/>
                <w:sz w:val="21"/>
                <w:szCs w:val="21"/>
                <w:lang w:val="zh-CN" w:eastAsia="zh-CN" w:bidi="ar-SA"/>
              </w:rPr>
            </w:pPr>
            <w:bookmarkStart w:id="78" w:name="_Toc256000008"/>
            <w:bookmarkStart w:id="79" w:name="_Toc168406567"/>
            <w:r>
              <w:rPr>
                <w:rFonts w:hint="eastAsia" w:ascii="仿宋_GB2312" w:hAnsi="仿宋_GB2312" w:eastAsia="仿宋_GB2312" w:cs="仿宋_GB2312"/>
                <w:kern w:val="2"/>
                <w:sz w:val="21"/>
                <w:szCs w:val="21"/>
                <w:lang w:val="en-US" w:eastAsia="zh-CN" w:bidi="ar-SA"/>
              </w:rPr>
              <w:t>五、项目技术支持服务要求</w:t>
            </w:r>
            <w:bookmarkEnd w:id="78"/>
          </w:p>
          <w:bookmarkEnd w:id="79"/>
          <w:p>
            <w:pPr>
              <w:widowControl w:val="0"/>
              <w:numPr>
                <w:ilvl w:val="1"/>
                <w:numId w:val="0"/>
              </w:numPr>
              <w:spacing w:line="400" w:lineRule="exact"/>
              <w:jc w:val="left"/>
              <w:outlineLvl w:val="1"/>
              <w:rPr>
                <w:rFonts w:ascii="仿宋_GB2312" w:hAnsi="仿宋_GB2312" w:eastAsia="仿宋_GB2312" w:cs="仿宋_GB2312"/>
                <w:kern w:val="2"/>
                <w:sz w:val="21"/>
                <w:szCs w:val="21"/>
                <w:lang w:val="en-US" w:eastAsia="zh-CN" w:bidi="ar-SA"/>
              </w:rPr>
            </w:pPr>
            <w:bookmarkStart w:id="80" w:name="_Toc168406569"/>
            <w:r>
              <w:rPr>
                <w:rFonts w:ascii="仿宋_GB2312" w:hAnsi="仿宋_GB2312" w:eastAsia="仿宋_GB2312" w:cs="仿宋_GB2312"/>
                <w:kern w:val="2"/>
                <w:sz w:val="21"/>
                <w:szCs w:val="21"/>
                <w:lang w:val="en-US" w:eastAsia="zh-CN" w:bidi="ar-SA"/>
              </w:rPr>
              <w:t>5.1.服务团队人员管理要求</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（1）中标人必须成立合理的实施团队，建立健全保障项目顺利实施的各项管理制度和质量保证体系。</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（2）参与技术支持服务的团队人员应服从采购人的安排，遵守采购人的有关规章制度，遵守保密协议。</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w:t>
            </w:r>
            <w:r>
              <w:rPr>
                <w:rFonts w:hint="eastAsia" w:ascii="仿宋_GB2312" w:hAnsi="仿宋_GB2312" w:eastAsia="仿宋_GB2312" w:cs="仿宋_GB2312"/>
                <w:kern w:val="2"/>
                <w:sz w:val="21"/>
                <w:szCs w:val="21"/>
                <w:lang w:val="en" w:eastAsia="zh-CN" w:bidi="ar-SA"/>
              </w:rPr>
              <w:t>3</w:t>
            </w:r>
            <w:r>
              <w:rPr>
                <w:rFonts w:hint="eastAsia" w:ascii="仿宋_GB2312" w:hAnsi="仿宋_GB2312" w:eastAsia="仿宋_GB2312" w:cs="仿宋_GB2312"/>
                <w:kern w:val="2"/>
                <w:sz w:val="21"/>
                <w:szCs w:val="21"/>
                <w:lang w:val="zh-CN" w:eastAsia="zh-CN" w:bidi="ar-SA"/>
              </w:rPr>
              <w:t>）辽宁省税务局有无条件要求中标人更换项目成员直至满意的权利。项目实施人员一经双方确定，中标人应无条件保证其在项目中的稳定性、长期性及现场实施。</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w:t>
            </w:r>
            <w:r>
              <w:rPr>
                <w:rFonts w:hint="eastAsia" w:ascii="仿宋_GB2312" w:hAnsi="仿宋_GB2312" w:eastAsia="仿宋_GB2312" w:cs="仿宋_GB2312"/>
                <w:kern w:val="2"/>
                <w:sz w:val="21"/>
                <w:szCs w:val="21"/>
                <w:lang w:val="en" w:eastAsia="zh-CN" w:bidi="ar-SA"/>
              </w:rPr>
              <w:t>4</w:t>
            </w:r>
            <w:r>
              <w:rPr>
                <w:rFonts w:hint="eastAsia" w:ascii="仿宋_GB2312" w:hAnsi="仿宋_GB2312" w:eastAsia="仿宋_GB2312" w:cs="仿宋_GB2312"/>
                <w:kern w:val="2"/>
                <w:sz w:val="21"/>
                <w:szCs w:val="21"/>
                <w:lang w:val="zh-CN" w:eastAsia="zh-CN" w:bidi="ar-SA"/>
              </w:rPr>
              <w:t>）中标人须选派责任心强、技术水平高、业务熟练、有丰富管理经验的项目经理和服务人员参与该项目服务；必须指定专职于本项目的项目经理以及每个具体任务的责任人，配置相应的项目管理、实施服务、支持、培训、质量保证等人员，保证有足够的高素质人员参加本项目，确保工程顺利实施；参与本项目的服务人员必须为中标人的正式员工。</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w:t>
            </w:r>
            <w:r>
              <w:rPr>
                <w:rFonts w:hint="eastAsia" w:ascii="仿宋_GB2312" w:hAnsi="仿宋_GB2312" w:eastAsia="仿宋_GB2312" w:cs="仿宋_GB2312"/>
                <w:kern w:val="2"/>
                <w:sz w:val="21"/>
                <w:szCs w:val="21"/>
                <w:lang w:val="en" w:eastAsia="zh-CN" w:bidi="ar-SA"/>
              </w:rPr>
              <w:t>5</w:t>
            </w:r>
            <w:r>
              <w:rPr>
                <w:rFonts w:hint="eastAsia" w:ascii="仿宋_GB2312" w:hAnsi="仿宋_GB2312" w:eastAsia="仿宋_GB2312" w:cs="仿宋_GB2312"/>
                <w:kern w:val="2"/>
                <w:sz w:val="21"/>
                <w:szCs w:val="21"/>
                <w:lang w:val="zh-CN" w:eastAsia="zh-CN" w:bidi="ar-SA"/>
              </w:rPr>
              <w:t>）服务团队人员具体要求如下：</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驻场项目经理（1人）：具有信息系统项目管理师证书、10年以上信息化项目管理工作经验、政务信息系统软件开发或运维服务项目业绩的优先考虑。</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驻场服务人员（不少于</w:t>
            </w:r>
            <w:r>
              <w:rPr>
                <w:rFonts w:hint="eastAsia" w:ascii="仿宋_GB2312" w:hAnsi="仿宋_GB2312" w:eastAsia="仿宋_GB2312" w:cs="仿宋_GB2312"/>
                <w:kern w:val="2"/>
                <w:sz w:val="21"/>
                <w:szCs w:val="21"/>
                <w:lang w:val="en-US" w:eastAsia="zh-CN" w:bidi="ar-SA"/>
              </w:rPr>
              <w:t>10</w:t>
            </w:r>
            <w:r>
              <w:rPr>
                <w:rFonts w:hint="eastAsia" w:ascii="仿宋_GB2312" w:hAnsi="仿宋_GB2312" w:eastAsia="仿宋_GB2312" w:cs="仿宋_GB2312"/>
                <w:kern w:val="2"/>
                <w:sz w:val="21"/>
                <w:szCs w:val="21"/>
                <w:lang w:val="zh-CN" w:eastAsia="zh-CN" w:bidi="ar-SA"/>
              </w:rPr>
              <w:t>人，不含项目经理）：具有系统架构设计师、系统分析师、腾讯专有云TCE交付运维工程师、信息安全工程师、注册信息安全专业人员（CISP）认证、信息安全保障人员（CISAW）认证证书的优先考虑。</w:t>
            </w:r>
          </w:p>
          <w:p>
            <w:pPr>
              <w:widowControl w:val="0"/>
              <w:numPr>
                <w:ilvl w:val="0"/>
                <w:numId w:val="6"/>
              </w:numPr>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zh-CN" w:eastAsia="zh-CN" w:bidi="ar-SA"/>
              </w:rPr>
              <w:t>服务人员按照工作规范开展技术支持工作，每天详细记录本人工作内容、完成情况、提交文档等，按月进行汇总，形成工作月</w:t>
            </w:r>
            <w:r>
              <w:rPr>
                <w:rFonts w:hint="eastAsia" w:ascii="仿宋_GB2312" w:hAnsi="仿宋_GB2312" w:eastAsia="仿宋_GB2312" w:cs="仿宋_GB2312"/>
                <w:kern w:val="2"/>
                <w:sz w:val="21"/>
                <w:szCs w:val="21"/>
                <w:lang w:val="en-US" w:eastAsia="zh-CN" w:bidi="ar-SA"/>
              </w:rPr>
              <w:t>报。</w:t>
            </w:r>
          </w:p>
          <w:bookmarkEnd w:id="80"/>
          <w:p>
            <w:pPr>
              <w:widowControl w:val="0"/>
              <w:spacing w:line="400" w:lineRule="exact"/>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5.2.售后保障服务</w:t>
            </w:r>
          </w:p>
          <w:p>
            <w:pPr>
              <w:widowControl w:val="0"/>
              <w:spacing w:line="400" w:lineRule="exact"/>
              <w:ind w:firstLine="420" w:firstLineChars="20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 xml:space="preserve">1.维护：要求提交以下内容：对采购人不定期维护要求的响应措施；对用户修改要求的响应措施。 </w:t>
            </w:r>
          </w:p>
          <w:p>
            <w:pPr>
              <w:widowControl w:val="0"/>
              <w:spacing w:line="400" w:lineRule="exact"/>
              <w:ind w:firstLine="420" w:firstLineChars="20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 xml:space="preserve">2.安排工程师提供技术支持 （1） 提供7×24小时的技术咨询服务。 （2） 7*24小时电话响应。 （3）提供7×24小时的故障服务受理。 （4）提供7×24小时的重大故障现场支援。 </w:t>
            </w:r>
          </w:p>
          <w:p>
            <w:pPr>
              <w:widowControl w:val="0"/>
              <w:spacing w:line="400" w:lineRule="exact"/>
              <w:ind w:firstLine="420" w:firstLineChars="20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3.中标人细化售后服务流程，提高服务质量和流程。</w:t>
            </w:r>
          </w:p>
          <w:p>
            <w:pPr>
              <w:widowControl w:val="0"/>
              <w:spacing w:line="400" w:lineRule="exact"/>
              <w:ind w:firstLine="420" w:firstLineChars="20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4.本项目质保期终身。同版本系统永久性免费服务，中标人永久性免费为本系统提供服务器托管。</w:t>
            </w:r>
          </w:p>
          <w:p>
            <w:pPr>
              <w:keepNext/>
              <w:keepLines/>
              <w:widowControl w:val="0"/>
              <w:spacing w:before="340" w:after="330" w:line="400" w:lineRule="exact"/>
              <w:jc w:val="both"/>
              <w:outlineLvl w:val="0"/>
              <w:rPr>
                <w:rFonts w:ascii="仿宋_GB2312" w:hAnsi="仿宋_GB2312" w:eastAsia="仿宋_GB2312" w:cs="仿宋_GB2312"/>
                <w:kern w:val="2"/>
                <w:sz w:val="21"/>
                <w:szCs w:val="21"/>
                <w:lang w:val="zh-CN" w:eastAsia="zh-CN" w:bidi="ar-SA"/>
              </w:rPr>
            </w:pPr>
            <w:bookmarkStart w:id="81" w:name="_Toc256000009"/>
            <w:r>
              <w:rPr>
                <w:rFonts w:hint="eastAsia" w:ascii="仿宋_GB2312" w:hAnsi="仿宋_GB2312" w:eastAsia="仿宋_GB2312" w:cs="仿宋_GB2312"/>
                <w:kern w:val="2"/>
                <w:sz w:val="21"/>
                <w:szCs w:val="21"/>
                <w:lang w:val="en-US" w:eastAsia="zh-CN" w:bidi="ar-SA"/>
              </w:rPr>
              <w:t>六、其他要求</w:t>
            </w:r>
            <w:bookmarkEnd w:id="81"/>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en-US" w:eastAsia="zh-CN" w:bidi="ar-SA"/>
              </w:rPr>
              <w:t>6.1.</w:t>
            </w:r>
            <w:r>
              <w:rPr>
                <w:rFonts w:hint="eastAsia" w:ascii="仿宋_GB2312" w:hAnsi="仿宋_GB2312" w:eastAsia="仿宋_GB2312" w:cs="仿宋_GB2312"/>
                <w:kern w:val="2"/>
                <w:sz w:val="21"/>
                <w:szCs w:val="21"/>
                <w:lang w:val="zh-CN" w:eastAsia="zh-CN" w:bidi="ar-SA"/>
              </w:rPr>
              <w:t>税收信息化项目开发和应用管理工作要求</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中标人利用本项目实施过程中所产生的成果（包括发明、发现、可运行系统、源代码及相关技术资料、文档等），另行自行开发本合同业务范围内供纳税人缴费人使用的软件或产品，或利用为税务机关提供信息化服务的便利，向纳税人缴费人搭车收费或变相收费的，或有其他失信行为的，纳入国家税务总局失信名单。</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对于影响恶劣的严重违法失信行为，推送财政部纳入政府采购严重违法失信行为记录名单。</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中标人在本项目实施过程中发生违反网络安全规定行为，造成数据失窃或丢失、敏感信息泄露、主要业务系统瘫痪等不良后果的，自做出认定之日起三年内，税务系统各单位可以拒绝中标人参与税务系统政府采购活动。</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中标人禁止另行开发合同业务需求范围内、供纳税人、缴费人使用的软件;禁止在合同履行期间“围猎”税务人员，对违反以上规定的，将纳入失信名单；对于违反网络安全规定行为造成不良后果的，3年内限制参加税务系统政府采购活动;中标人应建立防止违法违规聘用离职税务人员风险控制制度，如出现违法违规聘用离职税务人员行为，甲方有权对中标人采取以下措施:限期改正、要求支付违约金、解除合同、3年内限制参加所聘人员原单位及下属单位信息化项目政府采购活动等措施。中标人针对以上内容提供承诺函。</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bookmarkStart w:id="82" w:name="_Toc168406565"/>
            <w:r>
              <w:rPr>
                <w:rFonts w:hint="eastAsia" w:ascii="仿宋_GB2312" w:hAnsi="仿宋_GB2312" w:eastAsia="仿宋_GB2312" w:cs="仿宋_GB2312"/>
                <w:kern w:val="2"/>
                <w:sz w:val="21"/>
                <w:szCs w:val="21"/>
                <w:lang w:val="en-US" w:eastAsia="zh-CN" w:bidi="ar-SA"/>
              </w:rPr>
              <w:t>6.2.知识转移和培训要求</w:t>
            </w:r>
            <w:bookmarkEnd w:id="82"/>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中标人应根据项目实施的进度详细制定人员培训方案，该培训方案包括培训目的、培训时间安排、培训地点、人数、次数、教材编写（列出教材基本内容）、培训课程（包括课程介绍）、培训方式、培训师资情况、培训周期、评估办法、保证措施等。中标人根据信息系统整个维护体系对采购人工作人员进行培训，要求完成全部运维知识移交。中标人需在软件产品提交后和项目完成时将系统的全部有关技术文件、详细设计资料及测试、验收报告等文档汇集成册，交付采购人，并作出向采购人进行技术转移的方案和策略。</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bookmarkStart w:id="83" w:name="_Toc168406566"/>
            <w:r>
              <w:rPr>
                <w:rFonts w:hint="eastAsia" w:ascii="仿宋_GB2312" w:hAnsi="仿宋_GB2312" w:eastAsia="仿宋_GB2312" w:cs="仿宋_GB2312"/>
                <w:kern w:val="2"/>
                <w:sz w:val="21"/>
                <w:szCs w:val="21"/>
                <w:lang w:val="en-US" w:eastAsia="zh-CN" w:bidi="ar-SA"/>
              </w:rPr>
              <w:t>6.3.知识产权要求</w:t>
            </w:r>
            <w:bookmarkEnd w:id="83"/>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w:t>
            </w:r>
            <w:r>
              <w:rPr>
                <w:rFonts w:hint="eastAsia" w:ascii="仿宋_GB2312" w:hAnsi="仿宋_GB2312" w:eastAsia="仿宋_GB2312" w:cs="仿宋_GB2312"/>
                <w:kern w:val="2"/>
                <w:sz w:val="21"/>
                <w:szCs w:val="21"/>
                <w:lang w:val="en-US" w:eastAsia="zh-CN" w:bidi="ar-SA"/>
              </w:rPr>
              <w:t>1</w:t>
            </w:r>
            <w:r>
              <w:rPr>
                <w:rFonts w:hint="eastAsia" w:ascii="仿宋_GB2312" w:hAnsi="仿宋_GB2312" w:eastAsia="仿宋_GB2312" w:cs="仿宋_GB2312"/>
                <w:kern w:val="2"/>
                <w:sz w:val="21"/>
                <w:szCs w:val="21"/>
                <w:lang w:val="zh-CN" w:eastAsia="zh-CN" w:bidi="ar-SA"/>
              </w:rPr>
              <w:t>）采购人对项目实施过程中所产生的所有成果（包括发明、发现、可运行系统、源代码及相关技术资料、文档等）享有所有权（永久使用权、复制权和修改权等）。除本项目工作所需外，未经采购人书面同意，中标人不得擅自使用、复制采购人的商标、标志、数据信息、文档及其他资料。</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w:t>
            </w:r>
            <w:r>
              <w:rPr>
                <w:rFonts w:hint="eastAsia" w:ascii="仿宋_GB2312" w:hAnsi="仿宋_GB2312" w:eastAsia="仿宋_GB2312" w:cs="仿宋_GB2312"/>
                <w:kern w:val="2"/>
                <w:sz w:val="21"/>
                <w:szCs w:val="21"/>
                <w:lang w:val="en-US" w:eastAsia="zh-CN" w:bidi="ar-SA"/>
              </w:rPr>
              <w:t>2</w:t>
            </w:r>
            <w:r>
              <w:rPr>
                <w:rFonts w:hint="eastAsia" w:ascii="仿宋_GB2312" w:hAnsi="仿宋_GB2312" w:eastAsia="仿宋_GB2312" w:cs="仿宋_GB2312"/>
                <w:kern w:val="2"/>
                <w:sz w:val="21"/>
                <w:szCs w:val="21"/>
                <w:lang w:val="zh-CN" w:eastAsia="zh-CN" w:bidi="ar-SA"/>
              </w:rPr>
              <w:t>）中标人保证在本项目中所有预装和为本项目安装的软件为在中国境内具有合法版权或使用权的正版软件且无质量瑕疵。</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w:t>
            </w:r>
            <w:r>
              <w:rPr>
                <w:rFonts w:hint="eastAsia" w:ascii="仿宋_GB2312" w:hAnsi="仿宋_GB2312" w:eastAsia="仿宋_GB2312" w:cs="仿宋_GB2312"/>
                <w:kern w:val="2"/>
                <w:sz w:val="21"/>
                <w:szCs w:val="21"/>
                <w:lang w:val="en-US" w:eastAsia="zh-CN" w:bidi="ar-SA"/>
              </w:rPr>
              <w:t>3</w:t>
            </w:r>
            <w:r>
              <w:rPr>
                <w:rFonts w:hint="eastAsia" w:ascii="仿宋_GB2312" w:hAnsi="仿宋_GB2312" w:eastAsia="仿宋_GB2312" w:cs="仿宋_GB2312"/>
                <w:kern w:val="2"/>
                <w:sz w:val="21"/>
                <w:szCs w:val="21"/>
                <w:lang w:val="zh-CN" w:eastAsia="zh-CN" w:bidi="ar-SA"/>
              </w:rPr>
              <w:t>）中标人保证其所提供的产品及服务不侵犯第三方的知识产权，否则，由此给采购人造成的一切损失由中标人承担。</w:t>
            </w:r>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6.4.安全保密要求</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bookmarkStart w:id="84" w:name="_Toc167256556"/>
            <w:bookmarkStart w:id="85" w:name="_Toc168406568"/>
            <w:r>
              <w:rPr>
                <w:rFonts w:hint="eastAsia" w:ascii="仿宋_GB2312" w:hAnsi="仿宋_GB2312" w:eastAsia="仿宋_GB2312" w:cs="仿宋_GB2312"/>
                <w:kern w:val="2"/>
                <w:sz w:val="21"/>
                <w:szCs w:val="21"/>
                <w:lang w:val="zh-CN" w:eastAsia="zh-CN" w:bidi="ar-SA"/>
              </w:rPr>
              <w:t>中标人的服务人员遵守《税务系统外部技术支持人员网络安全管理规范》，除需对系统软件维护工作负责外，还应对涉及的相关设备、系统以及数据安全负责。在项目后续执行过程中，若因服务人员失误，造成系统损坏、数据丢失等事故发生，中标人承担全部责任，并采取补救措施，直至满足采购人需求，期间发生的一切费用由中标人负责承担。</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w:t>
            </w:r>
            <w:r>
              <w:rPr>
                <w:rFonts w:hint="eastAsia" w:ascii="仿宋_GB2312" w:hAnsi="仿宋_GB2312" w:eastAsia="仿宋_GB2312" w:cs="仿宋_GB2312"/>
                <w:kern w:val="2"/>
                <w:sz w:val="21"/>
                <w:szCs w:val="21"/>
                <w:lang w:val="en-US" w:eastAsia="zh-CN" w:bidi="ar-SA"/>
              </w:rPr>
              <w:t>1</w:t>
            </w:r>
            <w:r>
              <w:rPr>
                <w:rFonts w:hint="eastAsia" w:ascii="仿宋_GB2312" w:hAnsi="仿宋_GB2312" w:eastAsia="仿宋_GB2312" w:cs="仿宋_GB2312"/>
                <w:kern w:val="2"/>
                <w:sz w:val="21"/>
                <w:szCs w:val="21"/>
                <w:lang w:val="zh-CN" w:eastAsia="zh-CN" w:bidi="ar-SA"/>
              </w:rPr>
              <w:t>）服务人员严格遵守采购人信息安全保密制度和日常办公规定。</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w:t>
            </w:r>
            <w:r>
              <w:rPr>
                <w:rFonts w:hint="eastAsia" w:ascii="仿宋_GB2312" w:hAnsi="仿宋_GB2312" w:eastAsia="仿宋_GB2312" w:cs="仿宋_GB2312"/>
                <w:kern w:val="2"/>
                <w:sz w:val="21"/>
                <w:szCs w:val="21"/>
                <w:lang w:val="en-US" w:eastAsia="zh-CN" w:bidi="ar-SA"/>
              </w:rPr>
              <w:t>2</w:t>
            </w:r>
            <w:r>
              <w:rPr>
                <w:rFonts w:hint="eastAsia" w:ascii="仿宋_GB2312" w:hAnsi="仿宋_GB2312" w:eastAsia="仿宋_GB2312" w:cs="仿宋_GB2312"/>
                <w:kern w:val="2"/>
                <w:sz w:val="21"/>
                <w:szCs w:val="21"/>
                <w:lang w:val="zh-CN" w:eastAsia="zh-CN" w:bidi="ar-SA"/>
              </w:rPr>
              <w:t>）服务人员与中标人签订并严格落实信息系统安全保密协议。</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w:t>
            </w:r>
            <w:r>
              <w:rPr>
                <w:rFonts w:hint="eastAsia" w:ascii="仿宋_GB2312" w:hAnsi="仿宋_GB2312" w:eastAsia="仿宋_GB2312" w:cs="仿宋_GB2312"/>
                <w:kern w:val="2"/>
                <w:sz w:val="21"/>
                <w:szCs w:val="21"/>
                <w:lang w:val="en-US" w:eastAsia="zh-CN" w:bidi="ar-SA"/>
              </w:rPr>
              <w:t>3</w:t>
            </w:r>
            <w:r>
              <w:rPr>
                <w:rFonts w:hint="eastAsia" w:ascii="仿宋_GB2312" w:hAnsi="仿宋_GB2312" w:eastAsia="仿宋_GB2312" w:cs="仿宋_GB2312"/>
                <w:kern w:val="2"/>
                <w:sz w:val="21"/>
                <w:szCs w:val="21"/>
                <w:lang w:val="zh-CN" w:eastAsia="zh-CN" w:bidi="ar-SA"/>
              </w:rPr>
              <w:t>）服务人员的工作成果归采购人所有，中标人未征得采购人书面同意，不得将技术资料泄露。如违反上述协议内容，采购人将保留追究中标人法律责任的权利。</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w:t>
            </w:r>
            <w:r>
              <w:rPr>
                <w:rFonts w:hint="eastAsia" w:ascii="仿宋_GB2312" w:hAnsi="仿宋_GB2312" w:eastAsia="仿宋_GB2312" w:cs="仿宋_GB2312"/>
                <w:kern w:val="2"/>
                <w:sz w:val="21"/>
                <w:szCs w:val="21"/>
                <w:lang w:val="en-US" w:eastAsia="zh-CN" w:bidi="ar-SA"/>
              </w:rPr>
              <w:t>4</w:t>
            </w:r>
            <w:r>
              <w:rPr>
                <w:rFonts w:hint="eastAsia" w:ascii="仿宋_GB2312" w:hAnsi="仿宋_GB2312" w:eastAsia="仿宋_GB2312" w:cs="仿宋_GB2312"/>
                <w:kern w:val="2"/>
                <w:sz w:val="21"/>
                <w:szCs w:val="21"/>
                <w:lang w:val="zh-CN" w:eastAsia="zh-CN" w:bidi="ar-SA"/>
              </w:rPr>
              <w:t>）服务人员严格遵守应用系统、内部文件、税务数据的访问范围和权限，按照采购人要求的连接方式开展系统后台运维。不得随意将携带的电脑和移动存储介质接入税务专网；不得在生产环境进行信息系统开发测试等。</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w:t>
            </w:r>
            <w:r>
              <w:rPr>
                <w:rFonts w:hint="eastAsia" w:ascii="仿宋_GB2312" w:hAnsi="仿宋_GB2312" w:eastAsia="仿宋_GB2312" w:cs="仿宋_GB2312"/>
                <w:kern w:val="2"/>
                <w:sz w:val="21"/>
                <w:szCs w:val="21"/>
                <w:lang w:val="en-US" w:eastAsia="zh-CN" w:bidi="ar-SA"/>
              </w:rPr>
              <w:t>5</w:t>
            </w:r>
            <w:r>
              <w:rPr>
                <w:rFonts w:hint="eastAsia" w:ascii="仿宋_GB2312" w:hAnsi="仿宋_GB2312" w:eastAsia="仿宋_GB2312" w:cs="仿宋_GB2312"/>
                <w:kern w:val="2"/>
                <w:sz w:val="21"/>
                <w:szCs w:val="21"/>
                <w:lang w:val="zh-CN" w:eastAsia="zh-CN" w:bidi="ar-SA"/>
              </w:rPr>
              <w:t>）服务人员严格遵守采购人内外网管理规定，未经允许，不得擅自从内网拷贝并向外携带办公区数据、文档、程序等信息资源，确因工作需要，填写申请，报采购人项目负责人审批，并经采购人备案后，方可实施相关操作。外网的数据进入内网，在指定计算机上，并进行严格检查杀毒后，方可进入内网，避免将病毒或木马等带入。</w:t>
            </w:r>
            <w:bookmarkEnd w:id="84"/>
            <w:bookmarkEnd w:id="85"/>
          </w:p>
          <w:p>
            <w:pPr>
              <w:keepNext/>
              <w:keepLines/>
              <w:widowControl w:val="0"/>
              <w:numPr>
                <w:ilvl w:val="1"/>
                <w:numId w:val="0"/>
              </w:numPr>
              <w:spacing w:before="260" w:after="260" w:line="400" w:lineRule="exact"/>
              <w:jc w:val="both"/>
              <w:outlineLvl w:val="1"/>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en-US" w:eastAsia="zh-CN" w:bidi="ar-SA"/>
              </w:rPr>
              <w:t>6.5.★违约责任</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中标人逾期完成系统上线实施、联调及配套改造的，中标人应按合同金额每日千分之六向采购人支付违约金，由采购人从待付款中扣除。超过约定日期10个工作日，采购人可解除本项目采购合同。中标人因逾期交货或因其他违约行为导致采购人解除合同的，中标人应向采购人支付合同金额百分之五的违约金，如造成采购人损失超过违约金的，超出部分由中标人继续承担赔偿责任。</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如中标人未按照双方约定的工作标准和时限完成工作的，每发生一次中标人应向采购人支付合同金额千分之五的违约金，违约金从中标人待付款中扣除，待付款不足以支付的采购人有权追偿。</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因中标人责任导致采购人业务无法正常办理,每发生一次,中标人应向采购人支付相当于合同金额2%的违约金。每次出现上述情况，在1小时以上（不含1小时）3小时以内（含3小时）解决的，中标人还应向采购人支付相当于合同金额1%的违约金; 超过3小时（不含3小时）解决的，中标人还应向采购人支付相当于合同金额2%的违约金。若无法解决（停机一天以上，或数据丢失一周以上未恢复的可视为无法解决），采购人有权终止合同，中标人归还采购人已经支付合同金额的40%并加赔采购人相当于合同金额30%的违约金。</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未经采购人同意，中标人人员将采购人数据向外泄漏，中标人应当承担由此带来的法律责任，同时应向采购人支付相当于合同金额20%的违约金。</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若因中标人原因未完成约定的工作事项，合同不予验收。</w:t>
            </w:r>
          </w:p>
          <w:p>
            <w:pPr>
              <w:widowControl w:val="0"/>
              <w:spacing w:line="400" w:lineRule="exact"/>
              <w:ind w:firstLine="420"/>
              <w:jc w:val="both"/>
              <w:rPr>
                <w:rFonts w:ascii="仿宋_GB2312" w:hAnsi="仿宋_GB2312" w:eastAsia="仿宋_GB2312" w:cs="仿宋_GB2312"/>
                <w:kern w:val="2"/>
                <w:sz w:val="21"/>
                <w:szCs w:val="21"/>
                <w:lang w:val="zh-CN" w:eastAsia="zh-CN" w:bidi="ar-SA"/>
              </w:rPr>
            </w:pPr>
            <w:r>
              <w:rPr>
                <w:rFonts w:hint="eastAsia" w:ascii="仿宋_GB2312" w:hAnsi="仿宋_GB2312" w:eastAsia="仿宋_GB2312" w:cs="仿宋_GB2312"/>
                <w:kern w:val="2"/>
                <w:sz w:val="21"/>
                <w:szCs w:val="21"/>
                <w:lang w:val="zh-CN" w:eastAsia="zh-CN" w:bidi="ar-SA"/>
              </w:rPr>
              <w:t>违约金不足以弥补采购人实际损失的，按照采购人实际损失予以赔偿。</w:t>
            </w:r>
          </w:p>
          <w:p>
            <w:pPr>
              <w:widowControl w:val="0"/>
              <w:spacing w:line="400" w:lineRule="exact"/>
              <w:ind w:firstLine="420"/>
              <w:jc w:val="both"/>
              <w:rPr>
                <w:rFonts w:ascii="仿宋_GB2312" w:hAnsi="仿宋_GB2312" w:eastAsia="仿宋_GB2312" w:cs="仿宋_GB2312"/>
                <w:kern w:val="2"/>
                <w:sz w:val="21"/>
                <w:szCs w:val="21"/>
                <w:lang w:val="en-US" w:eastAsia="zh-CN" w:bidi="ar-SA"/>
              </w:rPr>
            </w:pPr>
            <w:r>
              <w:rPr>
                <w:rFonts w:hint="eastAsia" w:ascii="仿宋_GB2312" w:hAnsi="仿宋_GB2312" w:eastAsia="仿宋_GB2312" w:cs="仿宋_GB2312"/>
                <w:kern w:val="2"/>
                <w:sz w:val="21"/>
                <w:szCs w:val="21"/>
                <w:lang w:val="zh-CN" w:eastAsia="zh-CN" w:bidi="ar-SA"/>
              </w:rPr>
              <w:t>以上违约金一律在付款时从合同金额中扣除。</w:t>
            </w:r>
          </w:p>
        </w:tc>
        <w:tc>
          <w:tcPr>
            <w:tcW w:w="1418" w:type="dxa"/>
            <w:tcBorders>
              <w:top w:val="single" w:color="auto" w:sz="4" w:space="0"/>
              <w:left w:val="single" w:color="auto" w:sz="4" w:space="0"/>
              <w:bottom w:val="single" w:color="auto" w:sz="4" w:space="0"/>
              <w:right w:val="single" w:color="auto" w:sz="4" w:space="0"/>
            </w:tcBorders>
            <w:noWrap w:val="0"/>
            <w:vAlign w:val="center"/>
          </w:tcPr>
          <w:p>
            <w:pPr>
              <w:widowControl w:val="0"/>
              <w:tabs>
                <w:tab w:val="left" w:pos="0"/>
              </w:tabs>
              <w:adjustRightInd w:val="0"/>
              <w:snapToGrid w:val="0"/>
              <w:jc w:val="center"/>
              <w:rPr>
                <w:rFonts w:ascii="仿宋_GB2312" w:hAnsi="仿宋_GB2312" w:eastAsia="仿宋_GB2312" w:cs="仿宋_GB2312"/>
                <w:kern w:val="2"/>
                <w:sz w:val="21"/>
                <w:szCs w:val="21"/>
                <w:lang w:val="en-US" w:eastAsia="zh-CN" w:bidi="ar-SA"/>
              </w:rPr>
            </w:pPr>
          </w:p>
        </w:tc>
        <w:tc>
          <w:tcPr>
            <w:tcW w:w="708" w:type="dxa"/>
            <w:tcBorders>
              <w:top w:val="single" w:color="auto" w:sz="4" w:space="0"/>
              <w:left w:val="single" w:color="auto" w:sz="4" w:space="0"/>
              <w:bottom w:val="single" w:color="auto" w:sz="4" w:space="0"/>
              <w:right w:val="single" w:color="auto" w:sz="4" w:space="0"/>
            </w:tcBorders>
            <w:noWrap w:val="0"/>
            <w:vAlign w:val="center"/>
          </w:tcPr>
          <w:p>
            <w:pPr>
              <w:widowControl w:val="0"/>
              <w:tabs>
                <w:tab w:val="left" w:pos="-75"/>
              </w:tabs>
              <w:ind w:right="-57" w:rightChars="-27"/>
              <w:jc w:val="center"/>
              <w:rPr>
                <w:rFonts w:ascii="仿宋_GB2312" w:hAnsi="仿宋_GB2312" w:eastAsia="仿宋_GB2312" w:cs="仿宋_GB2312"/>
                <w:kern w:val="0"/>
                <w:sz w:val="21"/>
                <w:szCs w:val="21"/>
                <w:lang w:val="en-US" w:eastAsia="zh-CN" w:bidi="ar-SA"/>
              </w:rPr>
            </w:pPr>
          </w:p>
        </w:tc>
        <w:tc>
          <w:tcPr>
            <w:tcW w:w="709" w:type="dxa"/>
            <w:tcBorders>
              <w:top w:val="single" w:color="auto" w:sz="4" w:space="0"/>
              <w:left w:val="single" w:color="auto" w:sz="4" w:space="0"/>
              <w:bottom w:val="single" w:color="auto" w:sz="4" w:space="0"/>
              <w:right w:val="single" w:color="auto" w:sz="4" w:space="0"/>
            </w:tcBorders>
            <w:noWrap w:val="0"/>
            <w:vAlign w:val="center"/>
          </w:tcPr>
          <w:p>
            <w:pPr>
              <w:widowControl w:val="0"/>
              <w:tabs>
                <w:tab w:val="left" w:pos="-75"/>
              </w:tabs>
              <w:ind w:right="-57" w:rightChars="-27"/>
              <w:jc w:val="center"/>
              <w:rPr>
                <w:rFonts w:ascii="仿宋_GB2312" w:hAnsi="仿宋_GB2312" w:eastAsia="仿宋_GB2312" w:cs="仿宋_GB2312"/>
                <w:kern w:val="0"/>
                <w:sz w:val="21"/>
                <w:szCs w:val="21"/>
                <w:lang w:val="en-US" w:eastAsia="zh-CN" w:bidi="ar-SA"/>
              </w:rPr>
            </w:pPr>
          </w:p>
        </w:tc>
        <w:tc>
          <w:tcPr>
            <w:tcW w:w="709" w:type="dxa"/>
            <w:tcBorders>
              <w:top w:val="single" w:color="auto" w:sz="4" w:space="0"/>
              <w:left w:val="single" w:color="auto" w:sz="4" w:space="0"/>
              <w:bottom w:val="single" w:color="auto" w:sz="4" w:space="0"/>
              <w:right w:val="single" w:color="auto" w:sz="4" w:space="0"/>
            </w:tcBorders>
            <w:noWrap w:val="0"/>
            <w:vAlign w:val="center"/>
          </w:tcPr>
          <w:p>
            <w:pPr>
              <w:widowControl w:val="0"/>
              <w:tabs>
                <w:tab w:val="left" w:pos="-75"/>
              </w:tabs>
              <w:ind w:right="-57" w:rightChars="-27"/>
              <w:jc w:val="center"/>
              <w:rPr>
                <w:rFonts w:ascii="仿宋_GB2312" w:hAnsi="仿宋_GB2312" w:eastAsia="仿宋_GB2312" w:cs="仿宋_GB2312"/>
                <w:kern w:val="0"/>
                <w:sz w:val="21"/>
                <w:szCs w:val="21"/>
                <w:lang w:val="en-US" w:eastAsia="zh-CN" w:bidi="ar-SA"/>
              </w:rPr>
            </w:pPr>
          </w:p>
        </w:tc>
      </w:tr>
    </w:tbl>
    <w:p>
      <w:pPr>
        <w:rPr>
          <w:rFonts w:ascii="仿宋_GB2312" w:eastAsia="仿宋_GB2312" w:cs="Calibri"/>
          <w:szCs w:val="24"/>
        </w:rPr>
        <w:sectPr>
          <w:type w:val="continuous"/>
          <w:pgSz w:w="11906" w:h="16838"/>
          <w:pgMar w:top="1440" w:right="1800" w:bottom="1440" w:left="1800" w:header="851" w:footer="992" w:gutter="0"/>
          <w:cols w:space="425" w:num="1"/>
          <w:docGrid w:type="lines" w:linePitch="312" w:charSpace="0"/>
        </w:sectPr>
      </w:pPr>
    </w:p>
    <w:p>
      <w:pPr>
        <w:pStyle w:val="2"/>
        <w:keepNext w:val="0"/>
        <w:keepLines w:val="0"/>
        <w:snapToGrid w:val="0"/>
        <w:spacing w:before="319" w:beforeLines="100" w:after="319" w:afterLines="100" w:line="360" w:lineRule="auto"/>
        <w:rPr>
          <w:rFonts w:hint="eastAsia"/>
          <w:lang w:eastAsia="zh-CN"/>
        </w:rPr>
      </w:pPr>
      <w:bookmarkStart w:id="86" w:name="_Toc256000010"/>
      <w:r>
        <w:rPr>
          <w:rFonts w:hint="eastAsia" w:ascii="仿宋_GB2312" w:hAnsi="仿宋_GB2312" w:eastAsia="仿宋_GB2312" w:cs="仿宋_GB2312"/>
          <w:highlight w:val="white"/>
        </w:rPr>
        <w:t>第四章 评标方法</w:t>
      </w:r>
      <w:bookmarkEnd w:id="86"/>
    </w:p>
    <w:p>
      <w:pPr>
        <w:rPr>
          <w:highlight w:val="yellow"/>
        </w:rPr>
      </w:pPr>
      <w:bookmarkStart w:id="87" w:name="EB60325e1aa5424ba9a5464824de1ea776"/>
      <w:bookmarkEnd w:id="87"/>
      <w:bookmarkStart w:id="88" w:name="EBbb43300a0b8e45e9997fc67693e7b922"/>
      <w:bookmarkEnd w:id="88"/>
    </w:p>
    <w:p>
      <w:pPr>
        <w:adjustRightInd w:val="0"/>
        <w:snapToGrid w:val="0"/>
        <w:spacing w:line="360" w:lineRule="auto"/>
        <w:ind w:firstLine="420" w:firstLineChars="200"/>
        <w:rPr>
          <w:rFonts w:ascii="仿宋_GB2312" w:hAnsi="仿宋_GB2312" w:eastAsia="仿宋_GB2312" w:cs="仿宋_GB2312"/>
          <w:b/>
          <w:kern w:val="0"/>
          <w:szCs w:val="21"/>
        </w:rPr>
      </w:pPr>
      <w:r>
        <w:rPr>
          <w:rFonts w:hint="eastAsia" w:ascii="仿宋_GB2312" w:hAnsi="仿宋_GB2312" w:eastAsia="仿宋_GB2312" w:cs="仿宋_GB2312"/>
          <w:bCs/>
          <w:kern w:val="0"/>
          <w:szCs w:val="21"/>
          <w:highlight w:val="white"/>
        </w:rPr>
        <w:t>本项目将按照招标文件第一章投标人须知中“六 开标及评标”、“七 确定中标”及本章的规定评标。</w:t>
      </w:r>
    </w:p>
    <w:p>
      <w:pPr>
        <w:adjustRightInd w:val="0"/>
        <w:snapToGrid w:val="0"/>
        <w:spacing w:line="360" w:lineRule="auto"/>
        <w:ind w:firstLine="420" w:firstLineChars="200"/>
        <w:rPr>
          <w:rFonts w:ascii="仿宋_GB2312" w:hAnsi="仿宋_GB2312" w:eastAsia="仿宋_GB2312" w:cs="仿宋_GB2312"/>
          <w:b/>
          <w:kern w:val="0"/>
          <w:szCs w:val="21"/>
        </w:rPr>
      </w:pPr>
      <w:r>
        <w:rPr>
          <w:rFonts w:hint="eastAsia" w:ascii="仿宋_GB2312" w:hAnsi="仿宋_GB2312" w:eastAsia="仿宋_GB2312" w:cs="仿宋_GB2312"/>
          <w:b/>
          <w:kern w:val="0"/>
          <w:szCs w:val="21"/>
          <w:highlight w:val="white"/>
        </w:rPr>
        <w:t>一、评标方法</w:t>
      </w:r>
    </w:p>
    <w:p>
      <w:pPr>
        <w:adjustRightInd w:val="0"/>
        <w:snapToGrid w:val="0"/>
        <w:spacing w:line="360" w:lineRule="auto"/>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本项目采用</w:t>
      </w:r>
      <w:bookmarkStart w:id="89" w:name="EB1438243dd6434c8d87ffa3a9d5003ca2"/>
      <w:r>
        <w:rPr>
          <w:rFonts w:hint="eastAsia" w:ascii="仿宋_GB2312" w:hAnsi="仿宋_GB2312" w:eastAsia="仿宋_GB2312" w:cs="仿宋_GB2312"/>
          <w:color w:val="0000FF"/>
          <w:kern w:val="0"/>
          <w:szCs w:val="21"/>
          <w:highlight w:val="white"/>
        </w:rPr>
        <w:t>□</w:t>
      </w:r>
      <w:bookmarkEnd w:id="89"/>
      <w:r>
        <w:rPr>
          <w:rFonts w:hint="eastAsia" w:ascii="仿宋_GB2312" w:hAnsi="仿宋_GB2312" w:eastAsia="仿宋_GB2312" w:cs="仿宋_GB2312"/>
          <w:kern w:val="0"/>
          <w:szCs w:val="21"/>
          <w:highlight w:val="white"/>
        </w:rPr>
        <w:t>最低评标价法</w:t>
      </w:r>
      <w:bookmarkStart w:id="90" w:name="EB26c9633abab448f59eccb9b4ca2260f4"/>
      <w:r>
        <w:rPr>
          <w:rFonts w:hint="eastAsia" w:ascii="仿宋_GB2312" w:hAnsi="仿宋_GB2312" w:eastAsia="仿宋_GB2312" w:cs="仿宋_GB2312"/>
          <w:color w:val="0000FF"/>
          <w:kern w:val="0"/>
          <w:szCs w:val="21"/>
          <w:highlight w:val="white"/>
        </w:rPr>
        <w:t>☑</w:t>
      </w:r>
      <w:bookmarkEnd w:id="90"/>
      <w:r>
        <w:rPr>
          <w:rFonts w:hint="eastAsia" w:ascii="仿宋_GB2312" w:hAnsi="仿宋_GB2312" w:eastAsia="仿宋_GB2312" w:cs="仿宋_GB2312"/>
          <w:kern w:val="0"/>
          <w:szCs w:val="21"/>
          <w:highlight w:val="white"/>
        </w:rPr>
        <w:t>综合评分法 进行评标。</w:t>
      </w:r>
    </w:p>
    <w:p>
      <w:pPr>
        <w:adjustRightInd w:val="0"/>
        <w:snapToGrid w:val="0"/>
        <w:spacing w:line="360" w:lineRule="auto"/>
        <w:ind w:firstLine="420" w:firstLineChars="200"/>
        <w:textAlignment w:val="baseline"/>
        <w:rPr>
          <w:rFonts w:ascii="仿宋_GB2312" w:hAnsi="仿宋_GB2312" w:eastAsia="仿宋_GB2312" w:cs="仿宋_GB2312"/>
          <w:b/>
          <w:kern w:val="0"/>
          <w:szCs w:val="21"/>
        </w:rPr>
      </w:pPr>
      <w:r>
        <w:rPr>
          <w:rFonts w:hint="eastAsia" w:ascii="仿宋_GB2312" w:hAnsi="仿宋_GB2312" w:eastAsia="仿宋_GB2312" w:cs="仿宋_GB2312"/>
          <w:b/>
          <w:kern w:val="0"/>
          <w:szCs w:val="21"/>
          <w:highlight w:val="white"/>
        </w:rPr>
        <w:t>二、评标原则及程序</w:t>
      </w:r>
    </w:p>
    <w:p>
      <w:pPr>
        <w:adjustRightInd w:val="0"/>
        <w:snapToGrid w:val="0"/>
        <w:spacing w:line="360" w:lineRule="auto"/>
        <w:ind w:firstLine="420" w:firstLineChars="200"/>
        <w:textAlignment w:val="baseline"/>
        <w:rPr>
          <w:rFonts w:ascii="仿宋_GB2312" w:hAnsi="仿宋_GB2312" w:eastAsia="仿宋_GB2312" w:cs="仿宋_GB2312"/>
          <w:b/>
          <w:kern w:val="0"/>
          <w:szCs w:val="21"/>
        </w:rPr>
      </w:pPr>
      <w:r>
        <w:rPr>
          <w:rFonts w:hint="eastAsia" w:ascii="仿宋_GB2312" w:hAnsi="仿宋_GB2312" w:eastAsia="仿宋_GB2312" w:cs="仿宋_GB2312"/>
          <w:b/>
          <w:kern w:val="0"/>
          <w:szCs w:val="21"/>
          <w:highlight w:val="white"/>
        </w:rPr>
        <w:t>（一）评标原则</w:t>
      </w:r>
    </w:p>
    <w:p>
      <w:pPr>
        <w:adjustRightInd w:val="0"/>
        <w:snapToGrid w:val="0"/>
        <w:spacing w:line="360" w:lineRule="auto"/>
        <w:ind w:firstLine="420" w:firstLineChars="200"/>
        <w:textAlignment w:val="baseline"/>
        <w:rPr>
          <w:rFonts w:ascii="仿宋_GB2312" w:hAnsi="仿宋_GB2312" w:eastAsia="仿宋_GB2312" w:cs="仿宋_GB2312"/>
          <w:b/>
          <w:kern w:val="0"/>
          <w:szCs w:val="21"/>
        </w:rPr>
      </w:pPr>
      <w:r>
        <w:rPr>
          <w:rFonts w:hint="eastAsia" w:ascii="仿宋_GB2312" w:hAnsi="仿宋_GB2312" w:eastAsia="仿宋_GB2312" w:cs="仿宋_GB2312"/>
          <w:kern w:val="0"/>
          <w:highlight w:val="whit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spacing w:line="360" w:lineRule="auto"/>
        <w:ind w:firstLine="420" w:firstLineChars="200"/>
        <w:textAlignment w:val="baseline"/>
        <w:rPr>
          <w:rFonts w:ascii="仿宋_GB2312" w:hAnsi="仿宋_GB2312" w:eastAsia="仿宋_GB2312" w:cs="仿宋_GB2312"/>
          <w:b/>
          <w:kern w:val="0"/>
          <w:szCs w:val="21"/>
        </w:rPr>
      </w:pPr>
      <w:r>
        <w:rPr>
          <w:rFonts w:hint="eastAsia" w:ascii="仿宋_GB2312" w:hAnsi="仿宋_GB2312" w:eastAsia="仿宋_GB2312" w:cs="仿宋_GB2312"/>
          <w:b/>
          <w:kern w:val="0"/>
          <w:szCs w:val="21"/>
          <w:highlight w:val="white"/>
        </w:rPr>
        <w:t>（二）评标程序</w:t>
      </w:r>
    </w:p>
    <w:p>
      <w:pPr>
        <w:adjustRightInd w:val="0"/>
        <w:snapToGrid w:val="0"/>
        <w:spacing w:line="360" w:lineRule="auto"/>
        <w:ind w:firstLine="420" w:firstLineChars="200"/>
        <w:textAlignment w:val="baseline"/>
        <w:rPr>
          <w:rFonts w:ascii="仿宋_GB2312" w:hAnsi="仿宋_GB2312" w:eastAsia="仿宋_GB2312" w:cs="仿宋_GB2312"/>
          <w:b/>
          <w:kern w:val="0"/>
          <w:szCs w:val="21"/>
        </w:rPr>
      </w:pPr>
      <w:r>
        <w:rPr>
          <w:rFonts w:hint="eastAsia" w:ascii="仿宋_GB2312" w:hAnsi="仿宋_GB2312" w:eastAsia="仿宋_GB2312" w:cs="仿宋_GB2312"/>
          <w:b/>
          <w:kern w:val="0"/>
          <w:szCs w:val="21"/>
          <w:highlight w:val="white"/>
        </w:rPr>
        <w:t>★1、资格审查</w:t>
      </w:r>
    </w:p>
    <w:p>
      <w:pPr>
        <w:adjustRightInd w:val="0"/>
        <w:snapToGrid w:val="0"/>
        <w:spacing w:line="360" w:lineRule="auto"/>
        <w:ind w:firstLine="420" w:firstLineChars="200"/>
        <w:textAlignment w:val="baseline"/>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1.1详见投标人须知22条。资格审查表详见本章附件1。</w:t>
      </w:r>
    </w:p>
    <w:p>
      <w:pPr>
        <w:adjustRightInd w:val="0"/>
        <w:snapToGrid w:val="0"/>
        <w:spacing w:line="360" w:lineRule="auto"/>
        <w:ind w:firstLine="420" w:firstLineChars="200"/>
        <w:rPr>
          <w:rFonts w:ascii="仿宋_GB2312" w:hAnsi="仿宋_GB2312" w:eastAsia="仿宋_GB2312" w:cs="仿宋_GB2312"/>
          <w:b/>
          <w:bCs/>
          <w:kern w:val="0"/>
          <w:szCs w:val="21"/>
        </w:rPr>
      </w:pPr>
      <w:r>
        <w:rPr>
          <w:rFonts w:hint="eastAsia" w:ascii="仿宋_GB2312" w:hAnsi="仿宋_GB2312" w:eastAsia="仿宋_GB2312" w:cs="仿宋_GB2312"/>
          <w:b/>
          <w:kern w:val="0"/>
          <w:szCs w:val="21"/>
          <w:highlight w:val="white"/>
        </w:rPr>
        <w:t>★</w:t>
      </w:r>
      <w:r>
        <w:rPr>
          <w:rFonts w:hint="eastAsia" w:ascii="仿宋_GB2312" w:hAnsi="仿宋_GB2312" w:eastAsia="仿宋_GB2312" w:cs="仿宋_GB2312"/>
          <w:b/>
          <w:bCs/>
          <w:kern w:val="0"/>
          <w:szCs w:val="21"/>
          <w:highlight w:val="white"/>
        </w:rPr>
        <w:t>2、符合性审查</w:t>
      </w:r>
    </w:p>
    <w:p>
      <w:pPr>
        <w:adjustRightInd w:val="0"/>
        <w:snapToGrid w:val="0"/>
        <w:spacing w:line="360" w:lineRule="auto"/>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2.1详见投标人须知23条。符合性审查表详见本章附件2。</w:t>
      </w:r>
    </w:p>
    <w:p>
      <w:pPr>
        <w:adjustRightInd w:val="0"/>
        <w:snapToGrid w:val="0"/>
        <w:spacing w:line="360" w:lineRule="auto"/>
        <w:ind w:firstLine="420" w:firstLineChars="200"/>
        <w:rPr>
          <w:rFonts w:ascii="仿宋_GB2312" w:hAnsi="仿宋_GB2312" w:eastAsia="仿宋_GB2312" w:cs="仿宋_GB2312"/>
          <w:b/>
          <w:kern w:val="0"/>
          <w:szCs w:val="21"/>
        </w:rPr>
      </w:pPr>
      <w:r>
        <w:rPr>
          <w:rFonts w:hint="eastAsia" w:ascii="仿宋_GB2312" w:hAnsi="仿宋_GB2312" w:eastAsia="仿宋_GB2312" w:cs="仿宋_GB2312"/>
          <w:b/>
          <w:kern w:val="0"/>
          <w:szCs w:val="21"/>
          <w:highlight w:val="white"/>
        </w:rPr>
        <w:t>3、样品及演示</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3.1</w:t>
      </w:r>
      <w:r>
        <w:rPr>
          <w:rFonts w:hint="eastAsia" w:ascii="仿宋_GB2312" w:hAnsi="仿宋_GB2312" w:eastAsia="仿宋_GB2312" w:cs="仿宋_GB2312"/>
          <w:kern w:val="0"/>
          <w:szCs w:val="21"/>
          <w:highlight w:val="white"/>
        </w:rPr>
        <w:t>投标人须知表11.3条</w:t>
      </w:r>
      <w:r>
        <w:rPr>
          <w:rFonts w:hint="eastAsia" w:ascii="仿宋_GB2312" w:hAnsi="仿宋_GB2312" w:eastAsia="仿宋_GB2312" w:cs="仿宋_GB2312"/>
          <w:szCs w:val="21"/>
          <w:highlight w:val="white"/>
        </w:rPr>
        <w:t>中要求投标人提供样品或演示的，按照</w:t>
      </w:r>
      <w:r>
        <w:rPr>
          <w:rFonts w:hint="eastAsia" w:ascii="仿宋_GB2312" w:hAnsi="仿宋_GB2312" w:eastAsia="仿宋_GB2312" w:cs="仿宋_GB2312"/>
          <w:kern w:val="0"/>
          <w:szCs w:val="21"/>
          <w:highlight w:val="white"/>
        </w:rPr>
        <w:t>投标人须知表25.1条</w:t>
      </w:r>
      <w:r>
        <w:rPr>
          <w:rFonts w:hint="eastAsia" w:ascii="仿宋_GB2312" w:hAnsi="仿宋_GB2312" w:eastAsia="仿宋_GB2312" w:cs="仿宋_GB2312"/>
          <w:szCs w:val="21"/>
          <w:highlight w:val="white"/>
        </w:rPr>
        <w:t>中确定的评审方法以及评审标准进行评审。(样品或演示属于符合性审查的，按照</w:t>
      </w:r>
      <w:r>
        <w:rPr>
          <w:rFonts w:hint="eastAsia" w:ascii="仿宋_GB2312" w:hAnsi="仿宋_GB2312" w:eastAsia="仿宋_GB2312" w:cs="仿宋_GB2312"/>
          <w:kern w:val="0"/>
          <w:szCs w:val="21"/>
          <w:highlight w:val="white"/>
        </w:rPr>
        <w:t>投标人须知23条</w:t>
      </w:r>
      <w:r>
        <w:rPr>
          <w:rFonts w:hint="eastAsia" w:ascii="仿宋_GB2312" w:hAnsi="仿宋_GB2312" w:eastAsia="仿宋_GB2312" w:cs="仿宋_GB2312"/>
          <w:szCs w:val="21"/>
          <w:highlight w:val="white"/>
        </w:rPr>
        <w:t>规定执行）</w:t>
      </w:r>
    </w:p>
    <w:p>
      <w:pPr>
        <w:adjustRightInd w:val="0"/>
        <w:snapToGrid w:val="0"/>
        <w:spacing w:line="360" w:lineRule="auto"/>
        <w:ind w:firstLine="420" w:firstLineChars="200"/>
        <w:rPr>
          <w:rFonts w:ascii="仿宋_GB2312" w:hAnsi="仿宋_GB2312" w:eastAsia="仿宋_GB2312" w:cs="仿宋_GB2312"/>
          <w:b/>
          <w:bCs/>
          <w:kern w:val="0"/>
          <w:szCs w:val="21"/>
        </w:rPr>
      </w:pPr>
      <w:r>
        <w:rPr>
          <w:rFonts w:hint="eastAsia" w:ascii="仿宋_GB2312" w:hAnsi="仿宋_GB2312" w:eastAsia="仿宋_GB2312" w:cs="仿宋_GB2312"/>
          <w:b/>
          <w:kern w:val="0"/>
          <w:szCs w:val="21"/>
          <w:highlight w:val="white"/>
        </w:rPr>
        <w:t>★4</w:t>
      </w:r>
      <w:r>
        <w:rPr>
          <w:rFonts w:hint="eastAsia" w:ascii="仿宋_GB2312" w:hAnsi="仿宋_GB2312" w:eastAsia="仿宋_GB2312" w:cs="仿宋_GB2312"/>
          <w:b/>
          <w:bCs/>
          <w:kern w:val="0"/>
          <w:szCs w:val="21"/>
          <w:highlight w:val="white"/>
        </w:rPr>
        <w:t>、比较及评价</w:t>
      </w:r>
    </w:p>
    <w:p>
      <w:pPr>
        <w:adjustRightInd w:val="0"/>
        <w:snapToGrid w:val="0"/>
        <w:spacing w:line="360" w:lineRule="auto"/>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5.1评标委员会对通过符合性审查的投标文件进行比较和评价。</w:t>
      </w:r>
    </w:p>
    <w:p>
      <w:pPr>
        <w:adjustRightInd w:val="0"/>
        <w:snapToGrid w:val="0"/>
        <w:spacing w:line="360" w:lineRule="auto"/>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5.2在评标期间，对投标文件的澄清按投标人须知24条内容执行。</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5.3评标委员会认为投标人的报价明显低于其他通过符合性审查的投标人报价，有可能影响服务质量或者不能诚信履约的，评标委员会应当要求其在评标现场合理的时间内提供书面说明，并提交相关证明材料，</w:t>
      </w:r>
      <w:r>
        <w:rPr>
          <w:rFonts w:hint="eastAsia" w:ascii="仿宋_GB2312" w:hAnsi="仿宋_GB2312" w:eastAsia="仿宋_GB2312" w:cs="仿宋_GB2312"/>
          <w:kern w:val="0"/>
          <w:szCs w:val="21"/>
          <w:highlight w:val="white"/>
        </w:rPr>
        <w:t>投标人不能证明其报价合理性的，评标委员会应当将</w:t>
      </w:r>
      <w:r>
        <w:rPr>
          <w:rFonts w:hint="eastAsia" w:ascii="仿宋_GB2312" w:hAnsi="仿宋_GB2312" w:eastAsia="仿宋_GB2312" w:cs="仿宋_GB2312"/>
          <w:szCs w:val="21"/>
          <w:highlight w:val="white"/>
        </w:rPr>
        <w:t>其投标作为</w:t>
      </w:r>
      <w:r>
        <w:rPr>
          <w:rFonts w:hint="eastAsia" w:ascii="仿宋_GB2312" w:hAnsi="仿宋_GB2312" w:eastAsia="仿宋_GB2312" w:cs="仿宋_GB2312"/>
          <w:b/>
          <w:bCs/>
          <w:szCs w:val="21"/>
          <w:highlight w:val="white"/>
        </w:rPr>
        <w:t>无效投标处理</w:t>
      </w:r>
      <w:r>
        <w:rPr>
          <w:rFonts w:hint="eastAsia" w:ascii="仿宋_GB2312" w:hAnsi="仿宋_GB2312" w:eastAsia="仿宋_GB2312" w:cs="仿宋_GB2312"/>
          <w:szCs w:val="21"/>
          <w:highlight w:val="white"/>
        </w:rPr>
        <w:t>。</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投标人的书面说明材料包含服务本身成本、人工费用、运输、税收等，以及报价不会影响服务质量或诚信履约能力的说明等。</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投标人的书面说明应当签字确认或者加盖公章，否则无效。书面说明的签字确认，由其法定代表人（非法人单位负责人或自然人本人）或者其授权代表签字确认。</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投标人提供书面说明后，评标委员会应当结合采购项目采购需求、专业实际情况、投标人财务状况报告、与其他投标人比较情况等就投标人的书面说明进行审查评价。投标人如有下列情况的，评标委员会应当将其投标文件作为无效处理：</w:t>
      </w:r>
    </w:p>
    <w:p>
      <w:pPr>
        <w:numPr>
          <w:ilvl w:val="0"/>
          <w:numId w:val="7"/>
        </w:num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拒绝或者变相拒绝提供有效书面说明；</w:t>
      </w:r>
    </w:p>
    <w:p>
      <w:pPr>
        <w:numPr>
          <w:ilvl w:val="0"/>
          <w:numId w:val="7"/>
        </w:num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书面说明不能证明其报价合理性的；</w:t>
      </w:r>
    </w:p>
    <w:p>
      <w:pPr>
        <w:numPr>
          <w:ilvl w:val="0"/>
          <w:numId w:val="7"/>
        </w:num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未在规定时间内递交有效书面说明书的。</w:t>
      </w:r>
    </w:p>
    <w:p>
      <w:pPr>
        <w:adjustRightInd w:val="0"/>
        <w:snapToGrid w:val="0"/>
        <w:spacing w:line="360" w:lineRule="auto"/>
        <w:ind w:firstLine="420" w:firstLineChars="200"/>
        <w:rPr>
          <w:rFonts w:ascii="仿宋_GB2312" w:hAnsi="仿宋_GB2312" w:eastAsia="仿宋_GB2312" w:cs="仿宋_GB2312"/>
          <w:b/>
          <w:bCs/>
          <w:kern w:val="0"/>
          <w:szCs w:val="21"/>
        </w:rPr>
      </w:pPr>
      <w:r>
        <w:rPr>
          <w:rFonts w:hint="eastAsia" w:ascii="仿宋_GB2312" w:hAnsi="仿宋_GB2312" w:eastAsia="仿宋_GB2312" w:cs="仿宋_GB2312"/>
          <w:b/>
          <w:kern w:val="0"/>
          <w:szCs w:val="21"/>
          <w:highlight w:val="white"/>
        </w:rPr>
        <w:t>★5</w:t>
      </w:r>
      <w:r>
        <w:rPr>
          <w:rFonts w:hint="eastAsia" w:ascii="仿宋_GB2312" w:hAnsi="仿宋_GB2312" w:eastAsia="仿宋_GB2312" w:cs="仿宋_GB2312"/>
          <w:b/>
          <w:bCs/>
          <w:kern w:val="0"/>
          <w:szCs w:val="21"/>
          <w:highlight w:val="white"/>
        </w:rPr>
        <w:t>、需落实的政府采购政策性规定：</w:t>
      </w:r>
    </w:p>
    <w:p>
      <w:pPr>
        <w:adjustRightInd w:val="0"/>
        <w:snapToGrid w:val="0"/>
        <w:spacing w:line="360" w:lineRule="auto"/>
        <w:ind w:firstLine="420" w:firstLineChars="200"/>
        <w:rPr>
          <w:rFonts w:ascii="仿宋_GB2312" w:hAnsi="仿宋_GB2312" w:eastAsia="仿宋_GB2312" w:cs="仿宋_GB2312"/>
          <w:b/>
          <w:kern w:val="0"/>
          <w:szCs w:val="21"/>
        </w:rPr>
      </w:pPr>
      <w:r>
        <w:rPr>
          <w:rFonts w:hint="eastAsia" w:ascii="仿宋_GB2312" w:hAnsi="仿宋_GB2312" w:eastAsia="仿宋_GB2312" w:cs="仿宋_GB2312"/>
          <w:b/>
          <w:kern w:val="0"/>
          <w:szCs w:val="21"/>
          <w:highlight w:val="white"/>
        </w:rPr>
        <w:t>5.1对于中小微企业的相关规定</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5.1.1对于非专门面向中小企业的项目，在满足价格扣除条件且在投标文件中按要求提交了《中小企业声明函》的</w:t>
      </w:r>
      <w:r>
        <w:rPr>
          <w:rFonts w:hint="eastAsia" w:ascii="仿宋_GB2312" w:hAnsi="仿宋_GB2312" w:eastAsia="仿宋_GB2312" w:cs="仿宋_GB2312"/>
          <w:kern w:val="0"/>
          <w:szCs w:val="21"/>
          <w:highlight w:val="white"/>
        </w:rPr>
        <w:t>，</w:t>
      </w:r>
      <w:r>
        <w:rPr>
          <w:rFonts w:hint="eastAsia" w:ascii="仿宋_GB2312" w:hAnsi="仿宋_GB2312" w:eastAsia="仿宋_GB2312" w:cs="仿宋_GB2312"/>
          <w:szCs w:val="21"/>
          <w:highlight w:val="white"/>
        </w:rPr>
        <w:t>对投标报价给予价格扣除，用扣除后的价格参与评审。投标报价扣除比例如下：</w:t>
      </w:r>
    </w:p>
    <w:p>
      <w:pPr>
        <w:adjustRightInd w:val="0"/>
        <w:snapToGrid w:val="0"/>
        <w:spacing w:line="360" w:lineRule="auto"/>
        <w:ind w:firstLine="210" w:firstLineChars="100"/>
        <w:rPr>
          <w:rFonts w:ascii="仿宋_GB2312" w:hAnsi="仿宋_GB2312" w:eastAsia="仿宋_GB2312" w:cs="仿宋_GB2312"/>
          <w:szCs w:val="21"/>
        </w:rPr>
      </w:pPr>
      <w:r>
        <w:rPr>
          <w:rFonts w:hint="eastAsia" w:ascii="仿宋_GB2312" w:hAnsi="仿宋_GB2312" w:eastAsia="仿宋_GB2312" w:cs="仿宋_GB2312"/>
          <w:szCs w:val="21"/>
          <w:highlight w:val="white"/>
        </w:rPr>
        <w:t>（1）非联合体投标</w:t>
      </w:r>
    </w:p>
    <w:p>
      <w:pPr>
        <w:adjustRightInd w:val="0"/>
        <w:snapToGrid w:val="0"/>
        <w:spacing w:line="360" w:lineRule="auto"/>
        <w:rPr>
          <w:rFonts w:ascii="仿宋_GB2312" w:hAnsi="仿宋_GB2312" w:eastAsia="仿宋_GB2312" w:cs="仿宋_GB2312"/>
          <w:szCs w:val="21"/>
        </w:rPr>
      </w:pPr>
      <w:r>
        <w:rPr>
          <w:rFonts w:hint="eastAsia" w:ascii="仿宋_GB2312" w:hAnsi="仿宋_GB2312" w:eastAsia="仿宋_GB2312" w:cs="仿宋_GB2312"/>
          <w:szCs w:val="21"/>
          <w:highlight w:val="white"/>
        </w:rPr>
        <w:t xml:space="preserve">       小型和微型企业相应产品、服务投标报价的</w:t>
      </w:r>
      <w:bookmarkStart w:id="91" w:name="EBa95b8734455c4d55b884bc77799006d9"/>
      <w:r>
        <w:rPr>
          <w:rFonts w:hint="eastAsia" w:ascii="仿宋_GB2312" w:hAnsi="仿宋_GB2312" w:eastAsia="仿宋_GB2312" w:cs="仿宋_GB2312"/>
          <w:color w:val="0000FF"/>
          <w:szCs w:val="21"/>
          <w:highlight w:val="white"/>
        </w:rPr>
        <w:t>15</w:t>
      </w:r>
      <w:bookmarkEnd w:id="91"/>
      <w:r>
        <w:rPr>
          <w:rFonts w:hint="eastAsia" w:ascii="仿宋_GB2312" w:hAnsi="仿宋_GB2312" w:eastAsia="仿宋_GB2312" w:cs="仿宋_GB2312"/>
          <w:szCs w:val="21"/>
          <w:highlight w:val="white"/>
        </w:rPr>
        <w:t>%</w:t>
      </w:r>
      <w:r>
        <w:rPr>
          <w:rFonts w:hint="eastAsia" w:ascii="仿宋_GB2312" w:hAnsi="仿宋_GB2312" w:eastAsia="仿宋_GB2312" w:cs="仿宋_GB2312"/>
          <w:kern w:val="0"/>
          <w:szCs w:val="21"/>
          <w:highlight w:val="white"/>
        </w:rPr>
        <w:t>（</w:t>
      </w:r>
      <w:bookmarkStart w:id="92" w:name="EB39a2666706ac4ba9974eb5a10171e350"/>
      <w:r>
        <w:rPr>
          <w:rFonts w:hint="eastAsia" w:ascii="仿宋_GB2312" w:hAnsi="仿宋_GB2312" w:eastAsia="仿宋_GB2312" w:cs="仿宋_GB2312"/>
          <w:color w:val="0000FF"/>
          <w:szCs w:val="21"/>
          <w:highlight w:val="white"/>
        </w:rPr>
        <w:t>10-20%</w:t>
      </w:r>
      <w:bookmarkEnd w:id="92"/>
      <w:r>
        <w:rPr>
          <w:rFonts w:hint="eastAsia" w:ascii="仿宋_GB2312" w:hAnsi="仿宋_GB2312" w:eastAsia="仿宋_GB2312" w:cs="仿宋_GB2312"/>
          <w:szCs w:val="21"/>
          <w:highlight w:val="white"/>
        </w:rPr>
        <w:t>）</w:t>
      </w:r>
    </w:p>
    <w:p>
      <w:pPr>
        <w:adjustRightInd w:val="0"/>
        <w:snapToGrid w:val="0"/>
        <w:spacing w:line="360" w:lineRule="auto"/>
        <w:ind w:firstLine="210" w:firstLineChars="100"/>
        <w:rPr>
          <w:rFonts w:ascii="仿宋_GB2312" w:hAnsi="仿宋_GB2312" w:eastAsia="仿宋_GB2312" w:cs="仿宋_GB2312"/>
          <w:szCs w:val="21"/>
        </w:rPr>
      </w:pPr>
      <w:r>
        <w:rPr>
          <w:rFonts w:hint="eastAsia" w:ascii="仿宋_GB2312" w:hAnsi="仿宋_GB2312" w:eastAsia="仿宋_GB2312" w:cs="仿宋_GB2312"/>
          <w:szCs w:val="21"/>
          <w:highlight w:val="white"/>
        </w:rPr>
        <w:t>（2）联合体投标</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大中型企业和其他自然人、法人或者其他组织与小型、微型企业组成联合体共同参加非专门面向中小企业的政府采购活动的，联合体报价协议中约定，小型、微型企业的协议合同金额占到联合体报价协议合同总金额30%以上的，投标报价扣除</w:t>
      </w:r>
      <w:bookmarkStart w:id="93" w:name="EBad95557e3e1c47a5901421e33329c131"/>
      <w:r>
        <w:rPr>
          <w:rFonts w:hint="eastAsia" w:ascii="仿宋_GB2312" w:hAnsi="仿宋_GB2312" w:eastAsia="仿宋_GB2312" w:cs="仿宋_GB2312"/>
          <w:color w:val="0000FF"/>
          <w:szCs w:val="21"/>
          <w:highlight w:val="white"/>
        </w:rPr>
        <w:t>\</w:t>
      </w:r>
      <w:bookmarkEnd w:id="93"/>
      <w:r>
        <w:rPr>
          <w:rFonts w:hint="eastAsia" w:ascii="仿宋_GB2312" w:hAnsi="仿宋_GB2312" w:eastAsia="仿宋_GB2312" w:cs="仿宋_GB2312"/>
          <w:szCs w:val="21"/>
          <w:highlight w:val="white"/>
        </w:rPr>
        <w:t>%</w:t>
      </w:r>
      <w:r>
        <w:rPr>
          <w:rFonts w:hint="eastAsia" w:ascii="仿宋_GB2312" w:hAnsi="仿宋_GB2312" w:eastAsia="仿宋_GB2312" w:cs="仿宋_GB2312"/>
          <w:kern w:val="0"/>
          <w:szCs w:val="21"/>
          <w:highlight w:val="white"/>
        </w:rPr>
        <w:t>（</w:t>
      </w:r>
      <w:bookmarkStart w:id="94" w:name="EBc2e0deb146784d9ab7850da3678d9c41"/>
      <w:r>
        <w:rPr>
          <w:rFonts w:hint="eastAsia" w:ascii="仿宋_GB2312" w:hAnsi="仿宋_GB2312" w:eastAsia="仿宋_GB2312" w:cs="仿宋_GB2312"/>
          <w:color w:val="0000FF"/>
          <w:szCs w:val="21"/>
          <w:highlight w:val="white"/>
        </w:rPr>
        <w:t>\</w:t>
      </w:r>
      <w:bookmarkEnd w:id="94"/>
      <w:r>
        <w:rPr>
          <w:rFonts w:hint="eastAsia" w:ascii="仿宋_GB2312" w:hAnsi="仿宋_GB2312" w:eastAsia="仿宋_GB2312" w:cs="仿宋_GB2312"/>
          <w:szCs w:val="21"/>
          <w:highlight w:val="white"/>
        </w:rPr>
        <w:t>）。</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 xml:space="preserve">联合体各方均为小型、微型企业的，联合体视同为小型、微型企业，按第本款（1）条规定享受扶持政策。组成联合体的大中型企业和其他自然人、法人或者其他组织，与小型、微型企业之间不得存在投资关系。 </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5.1.2监狱企业视同小型、微型企业，在满足价格扣除条件且在投标文件中按要求提交了省级以上监狱管理局、戒毒管理局（含新疆生产建设兵团）出具的属于监狱企业的证明文件的，对其投标报价按本章5.1.1条款的比例予以扣除，</w:t>
      </w:r>
      <w:r>
        <w:rPr>
          <w:rFonts w:hint="eastAsia" w:ascii="仿宋_GB2312" w:hAnsi="仿宋_GB2312" w:eastAsia="仿宋_GB2312" w:cs="仿宋_GB2312"/>
          <w:kern w:val="0"/>
          <w:szCs w:val="21"/>
          <w:highlight w:val="white"/>
        </w:rPr>
        <w:t>用扣除后的价格参与评审</w:t>
      </w:r>
      <w:r>
        <w:rPr>
          <w:rFonts w:hint="eastAsia" w:ascii="仿宋_GB2312" w:hAnsi="仿宋_GB2312" w:eastAsia="仿宋_GB2312" w:cs="仿宋_GB2312"/>
          <w:szCs w:val="21"/>
          <w:highlight w:val="white"/>
        </w:rPr>
        <w:t>。</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b/>
          <w:kern w:val="0"/>
          <w:szCs w:val="21"/>
          <w:highlight w:val="white"/>
        </w:rPr>
        <w:t>5.1.3</w:t>
      </w:r>
      <w:r>
        <w:rPr>
          <w:rFonts w:hint="eastAsia" w:ascii="仿宋_GB2312" w:hAnsi="仿宋_GB2312" w:eastAsia="仿宋_GB2312" w:cs="仿宋_GB2312"/>
          <w:szCs w:val="21"/>
          <w:highlight w:val="white"/>
        </w:rPr>
        <w:t>残疾人福利性单位视同小型、微型企业，在满足价格扣除条件且在</w:t>
      </w:r>
      <w:r>
        <w:rPr>
          <w:rFonts w:hint="eastAsia" w:ascii="仿宋_GB2312" w:hAnsi="仿宋_GB2312" w:eastAsia="仿宋_GB2312" w:cs="仿宋_GB2312"/>
          <w:kern w:val="0"/>
          <w:szCs w:val="21"/>
          <w:highlight w:val="white"/>
        </w:rPr>
        <w:t>投标文件中提供了《残疾人福利性单位声明函》的，</w:t>
      </w:r>
      <w:r>
        <w:rPr>
          <w:rFonts w:hint="eastAsia" w:ascii="仿宋_GB2312" w:hAnsi="仿宋_GB2312" w:eastAsia="仿宋_GB2312" w:cs="仿宋_GB2312"/>
          <w:szCs w:val="21"/>
          <w:highlight w:val="white"/>
        </w:rPr>
        <w:t>对其投标报价按本章5.1.1条款的比例予以扣除</w:t>
      </w:r>
      <w:r>
        <w:rPr>
          <w:rFonts w:hint="eastAsia" w:ascii="仿宋_GB2312" w:hAnsi="仿宋_GB2312" w:eastAsia="仿宋_GB2312" w:cs="仿宋_GB2312"/>
          <w:kern w:val="0"/>
          <w:szCs w:val="21"/>
          <w:highlight w:val="white"/>
        </w:rPr>
        <w:t>，用扣除后的价格参与评审。</w:t>
      </w:r>
    </w:p>
    <w:p>
      <w:pPr>
        <w:adjustRightInd w:val="0"/>
        <w:snapToGrid w:val="0"/>
        <w:spacing w:line="360" w:lineRule="auto"/>
        <w:ind w:firstLine="420" w:firstLineChars="200"/>
        <w:rPr>
          <w:rFonts w:ascii="仿宋_GB2312" w:hAnsi="仿宋_GB2312" w:eastAsia="仿宋_GB2312" w:cs="仿宋_GB2312"/>
          <w:b/>
          <w:szCs w:val="21"/>
        </w:rPr>
      </w:pPr>
      <w:r>
        <w:rPr>
          <w:rFonts w:hint="eastAsia" w:ascii="仿宋_GB2312" w:hAnsi="仿宋_GB2312" w:eastAsia="仿宋_GB2312" w:cs="仿宋_GB2312"/>
          <w:b/>
          <w:szCs w:val="21"/>
          <w:highlight w:val="white"/>
        </w:rPr>
        <w:t>5.1.4残疾人福利性单位属于小型、微型企业的，不重复享受政策。</w:t>
      </w:r>
    </w:p>
    <w:p>
      <w:pPr>
        <w:adjustRightInd w:val="0"/>
        <w:spacing w:line="360" w:lineRule="auto"/>
        <w:ind w:firstLine="420" w:firstLineChars="200"/>
        <w:rPr>
          <w:rFonts w:ascii="仿宋_GB2312" w:hAnsi="仿宋_GB2312" w:eastAsia="仿宋_GB2312" w:cs="仿宋_GB2312"/>
          <w:b/>
          <w:bCs/>
          <w:szCs w:val="21"/>
        </w:rPr>
      </w:pPr>
      <w:r>
        <w:rPr>
          <w:rFonts w:hint="eastAsia" w:ascii="仿宋_GB2312" w:hAnsi="仿宋_GB2312" w:eastAsia="仿宋_GB2312" w:cs="仿宋_GB2312"/>
          <w:b/>
          <w:bCs/>
          <w:szCs w:val="21"/>
          <w:highlight w:val="white"/>
        </w:rPr>
        <w:t>5.2对于节能产品、环境标志产品的相关规定</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1）招标人招标的服务有伴随货物的，如伴随的货物属于节能产品或环境标志产品，依据品目清单和认证证书实施政府优先采购。供应商应能够提供国家确定的认证机构出具的、处于有效期之内的节能产品、环境标志产品认证证书，方可对获得证书的产品优先推荐。</w:t>
      </w:r>
    </w:p>
    <w:p>
      <w:pPr>
        <w:adjustRightInd w:val="0"/>
        <w:snapToGrid w:val="0"/>
        <w:spacing w:line="360" w:lineRule="auto"/>
        <w:ind w:firstLine="630" w:firstLineChars="300"/>
        <w:rPr>
          <w:rFonts w:ascii="仿宋_GB2312" w:hAnsi="仿宋_GB2312" w:eastAsia="仿宋_GB2312" w:cs="仿宋_GB2312"/>
          <w:szCs w:val="21"/>
        </w:rPr>
      </w:pPr>
      <w:r>
        <w:rPr>
          <w:rFonts w:hint="eastAsia" w:ascii="仿宋_GB2312" w:hAnsi="仿宋_GB2312" w:eastAsia="仿宋_GB2312" w:cs="仿宋_GB2312"/>
          <w:kern w:val="0"/>
          <w:szCs w:val="21"/>
          <w:highlight w:val="white"/>
        </w:rPr>
        <w:t>采用最低评标价法的，</w:t>
      </w:r>
      <w:r>
        <w:rPr>
          <w:rFonts w:hint="eastAsia" w:ascii="仿宋_GB2312" w:hAnsi="仿宋_GB2312" w:eastAsia="仿宋_GB2312" w:cs="仿宋_GB2312"/>
          <w:szCs w:val="21"/>
          <w:highlight w:val="white"/>
        </w:rPr>
        <w:t>对</w:t>
      </w:r>
      <w:r>
        <w:rPr>
          <w:rFonts w:hint="eastAsia" w:ascii="仿宋_GB2312" w:hAnsi="仿宋_GB2312" w:eastAsia="仿宋_GB2312" w:cs="仿宋_GB2312"/>
          <w:kern w:val="0"/>
          <w:szCs w:val="21"/>
          <w:highlight w:val="white"/>
        </w:rPr>
        <w:t>清单中投标产品的报价</w:t>
      </w:r>
      <w:r>
        <w:rPr>
          <w:rFonts w:hint="eastAsia" w:ascii="仿宋_GB2312" w:hAnsi="仿宋_GB2312" w:eastAsia="仿宋_GB2312" w:cs="仿宋_GB2312"/>
          <w:szCs w:val="21"/>
          <w:highlight w:val="white"/>
        </w:rPr>
        <w:t>给予价格扣除，用扣除后的价格参与评审。报价扣除比例为</w:t>
      </w:r>
      <w:r>
        <w:rPr>
          <w:rFonts w:hint="eastAsia" w:ascii="仿宋_GB2312" w:hAnsi="仿宋_GB2312" w:eastAsia="仿宋_GB2312" w:cs="仿宋_GB2312"/>
          <w:kern w:val="0"/>
          <w:szCs w:val="21"/>
          <w:highlight w:val="white"/>
        </w:rPr>
        <w:t>清单中产品报价的</w:t>
      </w:r>
      <w:bookmarkStart w:id="95" w:name="EB21f324f343124d6a8da27c23bc703e34"/>
      <w:r>
        <w:rPr>
          <w:rFonts w:hint="eastAsia" w:ascii="仿宋_GB2312" w:hAnsi="仿宋_GB2312" w:eastAsia="仿宋_GB2312" w:cs="仿宋_GB2312"/>
          <w:color w:val="0000FF"/>
          <w:szCs w:val="21"/>
          <w:highlight w:val="white"/>
        </w:rPr>
        <w:t>\</w:t>
      </w:r>
      <w:bookmarkEnd w:id="95"/>
      <w:r>
        <w:rPr>
          <w:rFonts w:hint="eastAsia" w:ascii="仿宋_GB2312" w:hAnsi="仿宋_GB2312" w:eastAsia="仿宋_GB2312" w:cs="仿宋_GB2312"/>
          <w:szCs w:val="21"/>
          <w:highlight w:val="white"/>
        </w:rPr>
        <w:t>%。</w:t>
      </w:r>
    </w:p>
    <w:p>
      <w:pPr>
        <w:adjustRightInd w:val="0"/>
        <w:snapToGrid w:val="0"/>
        <w:spacing w:line="360" w:lineRule="auto"/>
        <w:ind w:firstLine="630" w:firstLineChars="300"/>
        <w:rPr>
          <w:rFonts w:ascii="仿宋_GB2312" w:hAnsi="仿宋_GB2312" w:eastAsia="仿宋_GB2312" w:cs="仿宋_GB2312"/>
          <w:szCs w:val="21"/>
        </w:rPr>
      </w:pPr>
      <w:r>
        <w:rPr>
          <w:rFonts w:hint="eastAsia" w:ascii="仿宋_GB2312" w:hAnsi="仿宋_GB2312" w:eastAsia="仿宋_GB2312" w:cs="仿宋_GB2312"/>
          <w:kern w:val="0"/>
          <w:szCs w:val="21"/>
          <w:highlight w:val="white"/>
        </w:rPr>
        <w:t>采用综合评分法评标的项目，对清单中产品给予相应的加分。（详见评分细则）</w:t>
      </w:r>
    </w:p>
    <w:p>
      <w:pPr>
        <w:adjustRightIn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（2）认证机构和获证产品信息发布媒体：详见中国政府采购网（www.ccgp.gov.cn）建立的与认证结果信息发布平台的链接。</w:t>
      </w:r>
    </w:p>
    <w:p>
      <w:pPr>
        <w:adjustRightInd w:val="0"/>
        <w:spacing w:line="360" w:lineRule="auto"/>
        <w:ind w:firstLine="420" w:firstLineChars="200"/>
        <w:rPr>
          <w:rFonts w:ascii="仿宋_GB2312" w:hAnsi="仿宋_GB2312" w:eastAsia="仿宋_GB2312" w:cs="仿宋_GB2312"/>
          <w:b/>
          <w:bCs/>
          <w:szCs w:val="21"/>
        </w:rPr>
      </w:pPr>
      <w:r>
        <w:rPr>
          <w:rFonts w:hint="eastAsia" w:ascii="仿宋_GB2312" w:hAnsi="仿宋_GB2312" w:eastAsia="仿宋_GB2312" w:cs="仿宋_GB2312"/>
          <w:b/>
          <w:bCs/>
          <w:szCs w:val="21"/>
          <w:highlight w:val="white"/>
        </w:rPr>
        <w:t>5.3对于列入《创新产品和服务目录》内的产品、服务的相关规定</w:t>
      </w:r>
    </w:p>
    <w:p>
      <w:pPr>
        <w:adjustRightIn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采用最低评标价法的：对列入《创新产品和服务目录》内的投标产品、服务给予其投标报价</w:t>
      </w:r>
      <w:bookmarkStart w:id="96" w:name="EB3f13a156a4484e5687e89352f3454255"/>
      <w:r>
        <w:rPr>
          <w:rFonts w:hint="eastAsia" w:ascii="仿宋_GB2312" w:hAnsi="仿宋_GB2312" w:eastAsia="仿宋_GB2312" w:cs="仿宋_GB2312"/>
          <w:color w:val="0000FF"/>
          <w:szCs w:val="21"/>
          <w:highlight w:val="white"/>
        </w:rPr>
        <w:t>\</w:t>
      </w:r>
      <w:bookmarkEnd w:id="96"/>
      <w:r>
        <w:rPr>
          <w:rFonts w:hint="eastAsia" w:ascii="仿宋_GB2312" w:hAnsi="仿宋_GB2312" w:eastAsia="仿宋_GB2312" w:cs="仿宋_GB2312"/>
          <w:szCs w:val="21"/>
          <w:highlight w:val="white"/>
        </w:rPr>
        <w:t>%（</w:t>
      </w:r>
      <w:bookmarkStart w:id="97" w:name="EBfc1aafeb751c45a7ba5398f12587112f"/>
      <w:r>
        <w:rPr>
          <w:rFonts w:hint="eastAsia" w:ascii="仿宋_GB2312" w:hAnsi="仿宋_GB2312" w:eastAsia="仿宋_GB2312" w:cs="仿宋_GB2312"/>
          <w:color w:val="0000FF"/>
          <w:szCs w:val="21"/>
          <w:highlight w:val="white"/>
        </w:rPr>
        <w:t>\</w:t>
      </w:r>
      <w:bookmarkEnd w:id="97"/>
      <w:r>
        <w:rPr>
          <w:rFonts w:hint="eastAsia" w:ascii="仿宋_GB2312" w:hAnsi="仿宋_GB2312" w:eastAsia="仿宋_GB2312" w:cs="仿宋_GB2312"/>
          <w:szCs w:val="21"/>
          <w:highlight w:val="white"/>
        </w:rPr>
        <w:t>）的价格扣除，用扣除后的价格参与评审。</w:t>
      </w:r>
    </w:p>
    <w:p>
      <w:pPr>
        <w:adjustRightIn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highlight w:val="white"/>
        </w:rPr>
        <w:t>采用综合评分法评标的：对列入《创新产品和服务目录》内的投标产品、服务给予其价格部分总分值的</w:t>
      </w:r>
      <w:bookmarkStart w:id="98" w:name="EB7949621b9a964795b170bf6d921bb248"/>
      <w:r>
        <w:rPr>
          <w:rFonts w:hint="eastAsia" w:ascii="仿宋_GB2312" w:hAnsi="仿宋_GB2312" w:eastAsia="仿宋_GB2312" w:cs="仿宋_GB2312"/>
          <w:color w:val="0000FF"/>
          <w:szCs w:val="21"/>
          <w:highlight w:val="white"/>
        </w:rPr>
        <w:t>6</w:t>
      </w:r>
      <w:bookmarkEnd w:id="98"/>
      <w:r>
        <w:rPr>
          <w:rFonts w:hint="eastAsia" w:ascii="仿宋_GB2312" w:hAnsi="仿宋_GB2312" w:eastAsia="仿宋_GB2312" w:cs="仿宋_GB2312"/>
          <w:szCs w:val="21"/>
          <w:highlight w:val="white"/>
        </w:rPr>
        <w:t>%（</w:t>
      </w:r>
      <w:bookmarkStart w:id="99" w:name="EB79afa5b7bcb94d1c8a27f6928630c9b1"/>
      <w:r>
        <w:rPr>
          <w:rFonts w:hint="eastAsia" w:ascii="仿宋_GB2312" w:hAnsi="仿宋_GB2312" w:eastAsia="仿宋_GB2312" w:cs="仿宋_GB2312"/>
          <w:color w:val="0000FF"/>
          <w:szCs w:val="21"/>
          <w:highlight w:val="white"/>
        </w:rPr>
        <w:t>6-8%</w:t>
      </w:r>
      <w:bookmarkEnd w:id="99"/>
      <w:r>
        <w:rPr>
          <w:rFonts w:hint="eastAsia" w:ascii="仿宋_GB2312" w:hAnsi="仿宋_GB2312" w:eastAsia="仿宋_GB2312" w:cs="仿宋_GB2312"/>
          <w:szCs w:val="21"/>
          <w:highlight w:val="white"/>
        </w:rPr>
        <w:t>）的加分（详见评分细则）。</w:t>
      </w:r>
    </w:p>
    <w:p>
      <w:pPr>
        <w:adjustRightInd w:val="0"/>
        <w:snapToGrid w:val="0"/>
        <w:spacing w:line="360" w:lineRule="auto"/>
        <w:ind w:firstLine="420" w:firstLineChars="200"/>
        <w:rPr>
          <w:rFonts w:ascii="仿宋_GB2312" w:hAnsi="仿宋_GB2312" w:eastAsia="仿宋_GB2312" w:cs="仿宋_GB2312"/>
          <w:b/>
          <w:bCs/>
          <w:kern w:val="0"/>
          <w:szCs w:val="21"/>
        </w:rPr>
      </w:pPr>
      <w:r>
        <w:rPr>
          <w:rFonts w:hint="eastAsia" w:ascii="仿宋_GB2312" w:hAnsi="仿宋_GB2312" w:eastAsia="仿宋_GB2312" w:cs="仿宋_GB2312"/>
          <w:b/>
          <w:kern w:val="0"/>
          <w:szCs w:val="21"/>
          <w:highlight w:val="white"/>
        </w:rPr>
        <w:t>★6</w:t>
      </w:r>
      <w:r>
        <w:rPr>
          <w:rFonts w:hint="eastAsia" w:ascii="仿宋_GB2312" w:hAnsi="仿宋_GB2312" w:eastAsia="仿宋_GB2312" w:cs="仿宋_GB2312"/>
          <w:b/>
          <w:bCs/>
          <w:kern w:val="0"/>
          <w:szCs w:val="21"/>
          <w:highlight w:val="white"/>
        </w:rPr>
        <w:t>、投标无效情况详见投标人须知。</w:t>
      </w:r>
    </w:p>
    <w:p>
      <w:pPr>
        <w:adjustRightInd w:val="0"/>
        <w:snapToGrid w:val="0"/>
        <w:spacing w:line="360" w:lineRule="auto"/>
        <w:ind w:firstLine="420" w:firstLineChars="200"/>
        <w:rPr>
          <w:rFonts w:ascii="仿宋_GB2312" w:hAnsi="仿宋_GB2312" w:eastAsia="仿宋_GB2312" w:cs="仿宋_GB2312"/>
          <w:b/>
          <w:bCs/>
          <w:kern w:val="0"/>
          <w:szCs w:val="21"/>
        </w:rPr>
      </w:pPr>
      <w:r>
        <w:rPr>
          <w:rFonts w:hint="eastAsia" w:ascii="仿宋_GB2312" w:hAnsi="仿宋_GB2312" w:eastAsia="仿宋_GB2312" w:cs="仿宋_GB2312"/>
          <w:b/>
          <w:kern w:val="0"/>
          <w:szCs w:val="21"/>
          <w:highlight w:val="white"/>
        </w:rPr>
        <w:t>★7</w:t>
      </w:r>
      <w:r>
        <w:rPr>
          <w:rFonts w:hint="eastAsia" w:ascii="仿宋_GB2312" w:hAnsi="仿宋_GB2312" w:eastAsia="仿宋_GB2312" w:cs="仿宋_GB2312"/>
          <w:b/>
          <w:bCs/>
          <w:kern w:val="0"/>
          <w:szCs w:val="21"/>
          <w:highlight w:val="white"/>
        </w:rPr>
        <w:t>、推荐中标候选人的原则</w:t>
      </w:r>
    </w:p>
    <w:p>
      <w:pPr>
        <w:adjustRightInd w:val="0"/>
        <w:snapToGrid w:val="0"/>
        <w:spacing w:line="360" w:lineRule="auto"/>
        <w:ind w:firstLine="420" w:firstLineChars="200"/>
        <w:rPr>
          <w:rFonts w:ascii="仿宋_GB2312" w:hAnsi="仿宋_GB2312" w:eastAsia="仿宋_GB2312" w:cs="仿宋_GB2312"/>
          <w:kern w:val="0"/>
          <w:szCs w:val="21"/>
        </w:rPr>
      </w:pPr>
      <w:r>
        <w:rPr>
          <w:rFonts w:hint="eastAsia" w:ascii="仿宋_GB2312" w:hAnsi="仿宋_GB2312" w:eastAsia="仿宋_GB2312" w:cs="仿宋_GB2312"/>
          <w:kern w:val="0"/>
          <w:szCs w:val="21"/>
          <w:highlight w:val="white"/>
        </w:rPr>
        <w:t>详见第一章投标人须知第29条，具体处理办法如下：</w:t>
      </w:r>
    </w:p>
    <w:p>
      <w:pPr>
        <w:numPr>
          <w:ilvl w:val="0"/>
          <w:numId w:val="8"/>
        </w:num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采用最低评标价法的：</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扣除后的投标报价相同时，按投标报价由低至高排序；</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按前款不能区分的，按技术指标优劣排序；</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其他情况，由评标委员会投票处理。</w:t>
      </w:r>
    </w:p>
    <w:p>
      <w:pPr>
        <w:numPr>
          <w:ilvl w:val="0"/>
          <w:numId w:val="8"/>
        </w:num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采用综合评分法的：</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得分相同的，按扣除后的投标报价由低到高顺序排序；</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按前款不能区分的，按投标报价由低至高顺序排序；</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按前款不能区分的，按技术指标优劣排序；</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其他情况，由评标委员会投票处理。</w:t>
      </w:r>
    </w:p>
    <w:p>
      <w:pPr>
        <w:adjustRightInd w:val="0"/>
        <w:snapToGrid w:val="0"/>
        <w:spacing w:line="360" w:lineRule="auto"/>
        <w:ind w:firstLine="420" w:firstLineChars="200"/>
        <w:rPr>
          <w:rFonts w:ascii="仿宋_GB2312" w:hAnsi="仿宋_GB2312" w:eastAsia="仿宋_GB2312" w:cs="仿宋_GB2312"/>
          <w:b/>
          <w:kern w:val="0"/>
          <w:szCs w:val="21"/>
        </w:rPr>
      </w:pPr>
      <w:r>
        <w:rPr>
          <w:rFonts w:hint="eastAsia" w:ascii="仿宋_GB2312" w:hAnsi="仿宋_GB2312" w:eastAsia="仿宋_GB2312" w:cs="仿宋_GB2312"/>
          <w:b/>
          <w:szCs w:val="21"/>
          <w:highlight w:val="white"/>
        </w:rPr>
        <w:t>三、</w:t>
      </w:r>
      <w:r>
        <w:rPr>
          <w:rFonts w:hint="eastAsia" w:ascii="仿宋_GB2312" w:hAnsi="仿宋_GB2312" w:eastAsia="仿宋_GB2312" w:cs="仿宋_GB2312"/>
          <w:b/>
          <w:kern w:val="0"/>
          <w:szCs w:val="21"/>
          <w:highlight w:val="white"/>
        </w:rPr>
        <w:t>确定中标人</w:t>
      </w:r>
    </w:p>
    <w:p>
      <w:pPr>
        <w:adjustRightInd w:val="0"/>
        <w:snapToGrid w:val="0"/>
        <w:spacing w:line="360" w:lineRule="auto"/>
        <w:ind w:firstLine="420" w:firstLineChars="200"/>
        <w:rPr>
          <w:rFonts w:ascii="仿宋_GB2312" w:hAnsi="仿宋_GB2312" w:eastAsia="仿宋_GB2312" w:cs="仿宋_GB2312"/>
          <w:szCs w:val="21"/>
        </w:rPr>
      </w:pPr>
      <w:r>
        <w:rPr>
          <w:rFonts w:hint="eastAsia" w:ascii="仿宋_GB2312" w:hAnsi="仿宋_GB2312" w:eastAsia="仿宋_GB2312" w:cs="仿宋_GB2312"/>
          <w:szCs w:val="21"/>
          <w:highlight w:val="white"/>
        </w:rPr>
        <w:t>评标委员会根据全体评标委员会成员签字的原始评标记录和评标结果编写评标报告，并向采购人提交书面评标报告。</w:t>
      </w:r>
    </w:p>
    <w:p>
      <w:pPr>
        <w:adjustRightInd w:val="0"/>
        <w:snapToGrid w:val="0"/>
        <w:spacing w:line="360" w:lineRule="auto"/>
        <w:ind w:firstLine="420" w:firstLineChars="200"/>
        <w:rPr>
          <w:rFonts w:hint="eastAsia" w:ascii="仿宋_GB2312" w:hAnsi="仿宋_GB2312" w:eastAsia="仿宋_GB2312" w:cs="仿宋_GB2312"/>
          <w:szCs w:val="21"/>
        </w:rPr>
      </w:pPr>
      <w:r>
        <w:rPr>
          <w:rFonts w:hint="eastAsia" w:ascii="仿宋_GB2312" w:hAnsi="仿宋_GB2312" w:eastAsia="仿宋_GB2312" w:cs="仿宋_GB2312"/>
          <w:szCs w:val="21"/>
          <w:highlight w:val="white"/>
        </w:rPr>
        <w:t>采购人委托评标委员会直接确定中标人。</w:t>
      </w:r>
    </w:p>
    <w:p>
      <w:pPr>
        <w:rPr>
          <w:highlight w:val="cyan"/>
        </w:rPr>
      </w:pPr>
      <w:bookmarkStart w:id="100" w:name="EB94f99eda8f544b95b8e21140dd1d87eb"/>
      <w:bookmarkEnd w:id="100"/>
    </w:p>
    <w:p>
      <w:pPr>
        <w:widowControl/>
        <w:jc w:val="left"/>
        <w:rPr>
          <w:rFonts w:hint="eastAsia" w:ascii="仿宋_GB2312" w:hAnsi="仿宋_GB2312" w:eastAsia="仿宋_GB2312" w:cs="仿宋_GB2312"/>
          <w:kern w:val="0"/>
          <w:sz w:val="24"/>
        </w:rPr>
      </w:pPr>
    </w:p>
    <w:p>
      <w:pPr>
        <w:widowControl/>
        <w:jc w:val="left"/>
        <w:rPr>
          <w:rFonts w:ascii="仿宋_GB2312" w:hAnsi="仿宋_GB2312" w:eastAsia="仿宋_GB2312" w:cs="仿宋_GB2312"/>
          <w:kern w:val="0"/>
          <w:sz w:val="24"/>
        </w:rPr>
      </w:pPr>
    </w:p>
    <w:p>
      <w:pPr>
        <w:rPr>
          <w:rFonts w:ascii="仿宋" w:hAnsi="仿宋" w:eastAsia="仿宋"/>
          <w:b/>
          <w:sz w:val="28"/>
          <w:szCs w:val="28"/>
        </w:rPr>
      </w:pPr>
      <w:r>
        <w:rPr>
          <w:rFonts w:hint="eastAsia" w:ascii="仿宋" w:hAnsi="仿宋" w:eastAsia="仿宋"/>
          <w:b/>
          <w:sz w:val="28"/>
          <w:szCs w:val="28"/>
          <w:highlight w:val="white"/>
        </w:rPr>
        <w:t xml:space="preserve">附件1                   </w:t>
      </w:r>
    </w:p>
    <w:p>
      <w:pPr>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highlight w:val="white"/>
        </w:rPr>
        <w:t>资格审查表</w:t>
      </w:r>
    </w:p>
    <w:p>
      <w:pPr>
        <w:rPr>
          <w:rFonts w:hint="eastAsia"/>
          <w:highlight w:val="red"/>
        </w:rPr>
      </w:pPr>
      <w:bookmarkStart w:id="101" w:name="EB8d008b17647a43afa5c6f1834b2d6229"/>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7"/>
        <w:gridCol w:w="2693"/>
        <w:gridCol w:w="2142"/>
        <w:gridCol w:w="748"/>
        <w:gridCol w:w="748"/>
        <w:gridCol w:w="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vMerge w:val="restart"/>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序号</w:t>
            </w:r>
          </w:p>
        </w:tc>
        <w:tc>
          <w:tcPr>
            <w:tcW w:w="800" w:type="dxa"/>
            <w:vMerge w:val="restart"/>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审查项目</w:t>
            </w:r>
          </w:p>
        </w:tc>
        <w:tc>
          <w:tcPr>
            <w:tcW w:w="440" w:type="dxa"/>
            <w:vMerge w:val="restart"/>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审查标准</w:t>
            </w:r>
          </w:p>
        </w:tc>
        <w:tc>
          <w:tcPr>
            <w:tcW w:w="600" w:type="dxa"/>
            <w:gridSpan w:val="3"/>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投标人名称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8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44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营业执照或事业单位法人证书或执业许可证等证明文件复印件或自然人的身份证明复印件</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按要求提供或按给定格式填写（如采购文件提供格式）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法定代表人（或非法人组织负责人）身份证明书（自然人投标的无需提供）</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按要求提供或按给定格式填写（如采购文件提供格式）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法定代表人（或非法人组织负责人）授权委托书（授权委托人参加投标的须提供）</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按要求提供或按给定格式填写（如采购文件提供格式）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具有良好的商业信誉和健全的财务会计制度的承诺函</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按要求提供或按给定格式填写（如采购文件提供格式）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5</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开标时间前六个月内任一个月的依法缴纳税收的缴款凭据复印件</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按要求提供或按给定格式填写（如采购文件提供格式）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6</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开标时间前六个月内任一个月的依法缴纳社会保障资金的缴款凭据复印件</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按要求提供或按给定格式填写（如采购文件提供格式）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7</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具备履行合同所必需的设备和专业技术能力声明函</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按要求提供或按给定格式填写（如采购文件提供格式）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8</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参加政府采购活动前3年内在经营活动中没有重大违法记录的书面声明</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按要求提供或按给定格式填写（如采购文件提供格式）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9</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信用记录</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按要求提供或按给定格式填写（如采购文件提供格式）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结论</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bl>
    <w:p>
      <w:pPr>
        <w:rPr>
          <w:rFonts w:hint="eastAsia"/>
          <w:color w:val="000080"/>
          <w:sz w:val="20"/>
          <w:highlight w:val="white"/>
        </w:rPr>
      </w:pPr>
      <w:r>
        <w:rPr>
          <w:rFonts w:hint="eastAsia"/>
          <w:color w:val="000080"/>
          <w:sz w:val="20"/>
          <w:highlight w:val="white"/>
        </w:rPr>
        <w:t xml:space="preserve"> </w:t>
      </w:r>
      <w:bookmarkEnd w:id="101"/>
    </w:p>
    <w:p>
      <w:pPr>
        <w:snapToGrid w:val="0"/>
        <w:rPr>
          <w:rFonts w:ascii="仿宋_GB2312" w:hAnsi="仿宋_GB2312" w:eastAsia="仿宋_GB2312" w:cs="仿宋_GB2312"/>
        </w:rPr>
      </w:pPr>
      <w:r>
        <w:rPr>
          <w:rFonts w:hint="eastAsia" w:ascii="仿宋_GB2312" w:hAnsi="仿宋_GB2312" w:eastAsia="仿宋_GB2312" w:cs="仿宋_GB2312"/>
          <w:highlight w:val="white"/>
        </w:rPr>
        <w:t>填表说明：1、每项内容审查合格，在表中填写“√”；不合格填写“×”</w:t>
      </w:r>
    </w:p>
    <w:p>
      <w:pPr>
        <w:snapToGrid w:val="0"/>
        <w:rPr>
          <w:rFonts w:ascii="仿宋_GB2312" w:hAnsi="仿宋_GB2312" w:eastAsia="仿宋_GB2312" w:cs="仿宋_GB2312"/>
        </w:rPr>
      </w:pPr>
      <w:r>
        <w:rPr>
          <w:rFonts w:hint="eastAsia" w:ascii="仿宋_GB2312" w:hAnsi="仿宋_GB2312" w:eastAsia="仿宋_GB2312" w:cs="仿宋_GB2312"/>
          <w:highlight w:val="white"/>
        </w:rPr>
        <w:t xml:space="preserve">          2、审查结论填写“通过”或“不通过”</w:t>
      </w:r>
    </w:p>
    <w:p>
      <w:pPr>
        <w:rPr>
          <w:rFonts w:ascii="仿宋_GB2312" w:hAnsi="仿宋_GB2312" w:eastAsia="仿宋_GB2312" w:cs="仿宋_GB2312"/>
        </w:rPr>
      </w:pPr>
    </w:p>
    <w:p>
      <w:pPr>
        <w:pStyle w:val="17"/>
        <w:widowControl w:val="0"/>
        <w:snapToGrid w:val="0"/>
        <w:spacing w:before="0" w:beforeAutospacing="0" w:after="0" w:afterAutospacing="0" w:line="480" w:lineRule="auto"/>
        <w:jc w:val="both"/>
        <w:rPr>
          <w:rFonts w:ascii="仿宋_GB2312" w:hAnsi="仿宋_GB2312" w:eastAsia="仿宋_GB2312" w:cs="仿宋_GB2312"/>
          <w:sz w:val="21"/>
          <w:szCs w:val="21"/>
        </w:rPr>
      </w:pPr>
      <w:r>
        <w:rPr>
          <w:rFonts w:hint="eastAsia" w:ascii="仿宋_GB2312" w:hAnsi="仿宋_GB2312" w:eastAsia="仿宋_GB2312" w:cs="仿宋_GB2312"/>
          <w:sz w:val="21"/>
          <w:szCs w:val="21"/>
          <w:highlight w:val="white"/>
        </w:rPr>
        <w:t>审查人签字：</w:t>
      </w:r>
    </w:p>
    <w:p>
      <w:pPr>
        <w:pStyle w:val="17"/>
        <w:widowControl w:val="0"/>
        <w:snapToGrid w:val="0"/>
        <w:spacing w:before="0" w:beforeAutospacing="0" w:after="0" w:afterAutospacing="0" w:line="480" w:lineRule="auto"/>
        <w:jc w:val="both"/>
        <w:rPr>
          <w:rFonts w:ascii="仿宋_GB2312" w:hAnsi="仿宋_GB2312" w:eastAsia="仿宋_GB2312" w:cs="仿宋_GB2312"/>
          <w:bCs/>
          <w:sz w:val="21"/>
          <w:szCs w:val="21"/>
        </w:rPr>
      </w:pPr>
      <w:r>
        <w:rPr>
          <w:rFonts w:hint="eastAsia" w:ascii="仿宋_GB2312" w:hAnsi="仿宋_GB2312" w:eastAsia="仿宋_GB2312" w:cs="仿宋_GB2312"/>
          <w:bCs/>
          <w:sz w:val="21"/>
          <w:szCs w:val="21"/>
          <w:highlight w:val="white"/>
        </w:rPr>
        <w:t>日      期：</w:t>
      </w:r>
    </w:p>
    <w:p>
      <w:pPr>
        <w:rPr>
          <w:rFonts w:ascii="仿宋_GB2312" w:hAnsi="仿宋_GB2312" w:eastAsia="仿宋_GB2312" w:cs="仿宋_GB2312"/>
          <w:szCs w:val="28"/>
        </w:rPr>
      </w:pPr>
      <w:r>
        <w:rPr>
          <w:rFonts w:hint="eastAsia" w:ascii="仿宋" w:hAnsi="仿宋" w:eastAsia="仿宋"/>
          <w:b/>
          <w:sz w:val="28"/>
          <w:szCs w:val="28"/>
          <w:highlight w:val="white"/>
        </w:rPr>
        <w:t xml:space="preserve">附件2   </w:t>
      </w:r>
      <w:r>
        <w:rPr>
          <w:rFonts w:hint="eastAsia" w:ascii="仿宋_GB2312" w:hAnsi="仿宋_GB2312" w:eastAsia="仿宋_GB2312" w:cs="仿宋_GB2312"/>
          <w:szCs w:val="28"/>
          <w:highlight w:val="white"/>
        </w:rPr>
        <w:t xml:space="preserve">               </w:t>
      </w:r>
    </w:p>
    <w:p>
      <w:pPr>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highlight w:val="white"/>
        </w:rPr>
        <w:t>符合性审查表</w:t>
      </w:r>
    </w:p>
    <w:p>
      <w:pPr>
        <w:rPr>
          <w:rFonts w:hint="eastAsia"/>
          <w:highlight w:val="red"/>
        </w:rPr>
      </w:pPr>
      <w:bookmarkStart w:id="102" w:name="EB5f43278ac7544c38bb62eba0475bdde2"/>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37"/>
        <w:gridCol w:w="2693"/>
        <w:gridCol w:w="2142"/>
        <w:gridCol w:w="748"/>
        <w:gridCol w:w="748"/>
        <w:gridCol w:w="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vMerge w:val="restart"/>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序号</w:t>
            </w:r>
          </w:p>
        </w:tc>
        <w:tc>
          <w:tcPr>
            <w:tcW w:w="800" w:type="dxa"/>
            <w:vMerge w:val="restart"/>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审查项目</w:t>
            </w:r>
          </w:p>
        </w:tc>
        <w:tc>
          <w:tcPr>
            <w:tcW w:w="440" w:type="dxa"/>
            <w:vMerge w:val="restart"/>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审查标准</w:t>
            </w:r>
          </w:p>
        </w:tc>
        <w:tc>
          <w:tcPr>
            <w:tcW w:w="600" w:type="dxa"/>
            <w:gridSpan w:val="3"/>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投标人名称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8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44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投标函</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响应采购文件实质性要求或按给定格式填写（如采购文件提供格式）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开标一览表(投标总价)</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响应采购文件实质性要求或按给定格式填写（如采购文件提供格式）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服务价格明细表</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响应采购文件实质性要求或按给定格式填写（如采购文件提供格式）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商务条款偏离表</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响应采购文件实质性要求或按给定格式填写（如采购文件提供格式）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5</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服务需求响应表</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响应采购文件实质性要求或按给定格式填写（如采购文件提供格式）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6</w:t>
            </w: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投标人关联单位说明</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响应采购文件实质性要求或按给定格式填写（如采购文件提供格式）</w:t>
            </w: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8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结论</w:t>
            </w:r>
          </w:p>
        </w:tc>
        <w:tc>
          <w:tcPr>
            <w:tcW w:w="4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c>
          <w:tcPr>
            <w:tcW w:w="2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p>
        </w:tc>
      </w:tr>
    </w:tbl>
    <w:p>
      <w:pPr>
        <w:rPr>
          <w:rFonts w:hint="eastAsia"/>
          <w:color w:val="000080"/>
          <w:sz w:val="20"/>
          <w:highlight w:val="white"/>
        </w:rPr>
      </w:pPr>
      <w:r>
        <w:rPr>
          <w:rFonts w:hint="eastAsia"/>
          <w:color w:val="000080"/>
          <w:sz w:val="20"/>
          <w:highlight w:val="white"/>
        </w:rPr>
        <w:t xml:space="preserve"> </w:t>
      </w:r>
      <w:bookmarkEnd w:id="102"/>
    </w:p>
    <w:p>
      <w:pPr>
        <w:rPr>
          <w:rFonts w:ascii="仿宋_GB2312" w:hAnsi="仿宋_GB2312" w:eastAsia="仿宋_GB2312" w:cs="仿宋_GB2312"/>
        </w:rPr>
      </w:pPr>
      <w:r>
        <w:rPr>
          <w:rFonts w:hint="eastAsia" w:ascii="仿宋_GB2312" w:hAnsi="仿宋_GB2312" w:eastAsia="仿宋_GB2312" w:cs="仿宋_GB2312"/>
          <w:highlight w:val="white"/>
        </w:rPr>
        <w:t>注：《创新产品和服务目录》内产品、服务证明材料（可视具体情况调整至符合性证明材料及符合性审查表中）</w:t>
      </w:r>
    </w:p>
    <w:p>
      <w:pPr>
        <w:rPr>
          <w:rFonts w:ascii="仿宋_GB2312" w:hAnsi="仿宋_GB2312" w:eastAsia="仿宋_GB2312" w:cs="仿宋_GB2312"/>
        </w:rPr>
      </w:pPr>
      <w:r>
        <w:rPr>
          <w:rFonts w:hint="eastAsia" w:ascii="仿宋_GB2312" w:hAnsi="仿宋_GB2312" w:eastAsia="仿宋_GB2312" w:cs="仿宋_GB2312"/>
          <w:highlight w:val="white"/>
        </w:rPr>
        <w:t>填表说明：1、每项内容审查合格，在表中填写“√”；不合格填写“×”</w:t>
      </w:r>
    </w:p>
    <w:p>
      <w:pPr>
        <w:rPr>
          <w:rFonts w:ascii="仿宋_GB2312" w:hAnsi="仿宋_GB2312" w:eastAsia="仿宋_GB2312" w:cs="仿宋_GB2312"/>
        </w:rPr>
      </w:pPr>
      <w:r>
        <w:rPr>
          <w:rFonts w:hint="eastAsia" w:ascii="仿宋_GB2312" w:hAnsi="仿宋_GB2312" w:eastAsia="仿宋_GB2312" w:cs="仿宋_GB2312"/>
          <w:highlight w:val="white"/>
        </w:rPr>
        <w:t xml:space="preserve">          2、审查结论填写“通过”或“不通过”</w:t>
      </w:r>
    </w:p>
    <w:p>
      <w:pPr>
        <w:pStyle w:val="17"/>
        <w:widowControl w:val="0"/>
        <w:snapToGrid w:val="0"/>
        <w:spacing w:before="0" w:beforeAutospacing="0" w:after="0" w:afterAutospacing="0"/>
        <w:rPr>
          <w:rFonts w:ascii="仿宋_GB2312" w:hAnsi="仿宋_GB2312" w:eastAsia="仿宋_GB2312" w:cs="仿宋_GB2312"/>
          <w:b/>
          <w:sz w:val="21"/>
          <w:szCs w:val="21"/>
        </w:rPr>
      </w:pPr>
    </w:p>
    <w:p>
      <w:pPr>
        <w:pStyle w:val="17"/>
        <w:widowControl w:val="0"/>
        <w:snapToGrid w:val="0"/>
        <w:spacing w:before="0" w:beforeAutospacing="0" w:after="0" w:afterAutospacing="0" w:line="480" w:lineRule="auto"/>
        <w:ind w:left="5880" w:hanging="5880" w:hangingChars="2800"/>
        <w:rPr>
          <w:rFonts w:ascii="仿宋_GB2312" w:hAnsi="仿宋_GB2312" w:eastAsia="仿宋_GB2312" w:cs="仿宋_GB2312"/>
          <w:sz w:val="21"/>
          <w:szCs w:val="21"/>
        </w:rPr>
      </w:pPr>
      <w:r>
        <w:rPr>
          <w:rFonts w:hint="eastAsia" w:ascii="仿宋_GB2312" w:hAnsi="仿宋_GB2312" w:eastAsia="仿宋_GB2312" w:cs="仿宋_GB2312"/>
          <w:sz w:val="21"/>
          <w:szCs w:val="21"/>
          <w:highlight w:val="white"/>
        </w:rPr>
        <w:t xml:space="preserve">审查人签字： </w:t>
      </w:r>
    </w:p>
    <w:p>
      <w:pPr>
        <w:pStyle w:val="17"/>
        <w:widowControl w:val="0"/>
        <w:snapToGrid w:val="0"/>
        <w:spacing w:before="0" w:beforeAutospacing="0" w:after="0" w:afterAutospacing="0" w:line="480" w:lineRule="auto"/>
        <w:ind w:left="5880" w:hanging="5880" w:hangingChars="2800"/>
        <w:rPr>
          <w:rFonts w:hint="eastAsia" w:ascii="仿宋_GB2312" w:hAnsi="仿宋_GB2312" w:eastAsia="仿宋_GB2312" w:cs="仿宋_GB2312"/>
          <w:sz w:val="21"/>
          <w:szCs w:val="21"/>
        </w:rPr>
      </w:pPr>
      <w:r>
        <w:rPr>
          <w:rFonts w:hint="eastAsia" w:ascii="仿宋_GB2312" w:hAnsi="仿宋_GB2312" w:eastAsia="仿宋_GB2312" w:cs="仿宋_GB2312"/>
          <w:sz w:val="21"/>
          <w:szCs w:val="21"/>
          <w:highlight w:val="white"/>
        </w:rPr>
        <w:t>日      期：</w:t>
      </w:r>
    </w:p>
    <w:p>
      <w:pPr>
        <w:rPr>
          <w:rFonts w:hint="eastAsia"/>
          <w:highlight w:val="magenta"/>
        </w:rPr>
      </w:pPr>
      <w:bookmarkStart w:id="103" w:name="EBc086ba2238804190bcb1423bb8938a9c"/>
      <w:bookmarkEnd w:id="103"/>
    </w:p>
    <w:p>
      <w:pPr>
        <w:rPr>
          <w:rFonts w:hint="eastAsia"/>
          <w:highlight w:val="magenta"/>
        </w:rPr>
      </w:pPr>
      <w:bookmarkStart w:id="104" w:name="EB52e4d89408874604be0aa3469c5901c9"/>
      <w:bookmarkEnd w:id="104"/>
    </w:p>
    <w:p>
      <w:pPr>
        <w:rPr>
          <w:highlight w:val="magenta"/>
        </w:rPr>
      </w:pPr>
      <w:bookmarkStart w:id="105" w:name="EB8c85e0035b5b4140a5ce4da586159c78"/>
      <w:bookmarkEnd w:id="105"/>
    </w:p>
    <w:p>
      <w:pPr>
        <w:keepNext/>
        <w:keepLines/>
        <w:pageBreakBefore/>
        <w:rPr>
          <w:rFonts w:ascii="仿宋_GB2312" w:hAnsi="仿宋_GB2312" w:eastAsia="仿宋_GB2312" w:cs="仿宋_GB2312"/>
          <w:sz w:val="32"/>
          <w:szCs w:val="32"/>
        </w:rPr>
      </w:pPr>
      <w:r>
        <w:rPr>
          <w:rFonts w:hint="eastAsia" w:ascii="仿宋" w:hAnsi="仿宋" w:eastAsia="仿宋"/>
          <w:b/>
          <w:sz w:val="28"/>
          <w:szCs w:val="28"/>
          <w:highlight w:val="white"/>
        </w:rPr>
        <w:t xml:space="preserve">附件3  </w:t>
      </w:r>
      <w:r>
        <w:rPr>
          <w:rFonts w:hint="eastAsia" w:ascii="仿宋_GB2312" w:hAnsi="仿宋_GB2312" w:eastAsia="仿宋_GB2312" w:cs="仿宋_GB2312"/>
          <w:szCs w:val="28"/>
          <w:highlight w:val="white"/>
        </w:rPr>
        <w:t xml:space="preserve">                 </w:t>
      </w:r>
      <w:r>
        <w:rPr>
          <w:rFonts w:hint="eastAsia" w:ascii="仿宋_GB2312" w:hAnsi="仿宋_GB2312" w:eastAsia="仿宋_GB2312" w:cs="仿宋_GB2312"/>
          <w:sz w:val="32"/>
          <w:szCs w:val="32"/>
          <w:highlight w:val="white"/>
        </w:rPr>
        <w:t xml:space="preserve"> </w:t>
      </w:r>
    </w:p>
    <w:p>
      <w:pPr>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highlight w:val="white"/>
        </w:rPr>
        <w:t>评分细则</w:t>
      </w:r>
    </w:p>
    <w:p>
      <w:pPr>
        <w:jc w:val="center"/>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highlight w:val="white"/>
        </w:rPr>
        <w:t>（综合评分法适用）</w:t>
      </w:r>
    </w:p>
    <w:p>
      <w:pPr>
        <w:jc w:val="left"/>
        <w:rPr>
          <w:rFonts w:ascii="仿宋_GB2312" w:hAnsi="仿宋_GB2312" w:eastAsia="仿宋_GB2312" w:cs="仿宋_GB2312"/>
          <w:b/>
          <w:sz w:val="28"/>
          <w:szCs w:val="28"/>
        </w:rPr>
      </w:pPr>
      <w:r>
        <w:rPr>
          <w:rFonts w:hint="eastAsia" w:ascii="仿宋_GB2312" w:hAnsi="仿宋_GB2312" w:eastAsia="仿宋_GB2312" w:cs="仿宋_GB2312"/>
          <w:b/>
          <w:szCs w:val="21"/>
          <w:highlight w:val="white"/>
        </w:rPr>
        <w:t>（一）基本评分标准</w:t>
      </w:r>
    </w:p>
    <w:p>
      <w:pPr>
        <w:rPr>
          <w:rFonts w:hint="eastAsia"/>
          <w:color w:val="000080"/>
          <w:sz w:val="20"/>
          <w:highlight w:val="red"/>
        </w:rPr>
      </w:pPr>
      <w:bookmarkStart w:id="106" w:name="EB1d3163c03213403e984429a5531b8fe1"/>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4"/>
        <w:gridCol w:w="1274"/>
        <w:gridCol w:w="4078"/>
        <w:gridCol w:w="18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940" w:type="dxa"/>
            <w:gridSpan w:val="4"/>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包号：LNZC2024-0364-1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项目</w:t>
            </w: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分项名称</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评分标准</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b/>
                <w:kern w:val="0"/>
                <w:sz w:val="21"/>
                <w:szCs w:val="24"/>
                <w:lang w:val="en-US" w:eastAsia="en-US" w:bidi="ar-SA"/>
              </w:rPr>
              <w:t>满分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restart"/>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价格部分</w:t>
            </w: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投标报价打分</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计算公式为：（Cmin/C）*价格满分。其中，Cmin为所有有效投标人中的最低报价，C为投标人的报价。</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restart"/>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技术部分</w:t>
            </w: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总体实施方案</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根据投标人投标文件提供的总体实施方案进行综合打分，方案至少应包括但不限于以下内容：①总体实施计划②进度管理③质量保证与控制。                                                                                     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服务质量监督方案</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根据投标人投标文件提供的服务质量监督机制进行综合打分，方案至少应包括但不限于以下内容：①全面且合理的质量保证体系②全面且合理的质量控制体系③全面且合理的质量保障措施。                                                    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巡检方案</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根据投标人投标文件提供的巡检方案进行综合打分，方案至少应包括但不限于以下内容：①巡检周期②巡检流程③巡检内容④巡检报告。                                                                                     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培训方案</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根据投标人投标文件提供的培训方案进行综合打分，方案至少应包括但不限于以下内容：①培训组织完善，师资力量雄厚②培训教材及实施过程中所涉及的知识、技能、经验转移情况 。                                          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验收方案</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根据投标人投标文件提供的验收方案进行综合打分，方案至少应包括但不限于以下内容：①验收标准验及收流程管理、最终交付物使用说明②各项档案建立、分类、归档、移交流程。                                             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故障分析及处理方案</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根据投标人投标文件提供的故障分析及处理方案进行综合打分，方案至少应包括但不限于以下内容：①故障定义、故障分类②故障响应处理流程③硬件故障的诊断和处理④软件故障的诊断和处理。                                                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应急预案</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根据投标人投标文件提供的应急预案进行综合打分，方案至少应包括但不限于以下内容：①事件级别定义②风险管理计划③应急处理策略④应急处理流程。                                                                      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售后服务方案</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根据投标人投标文件提供的售后服务方案进行综合打分，方案至少应包括但不限于以下内容：①售后服务服务体系②服务团队③服务流程④服务规范等内容。                                                                               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技术服务1</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 xml:space="preserve">"根据投标人投标文件提供的电子税务局纳税人端及税务人端改造技术服务方案进行综合打分，方案至少应包括但不限于以下内容：缴款异常处理提示优化；残疾人就业保障金填写规则优化等。 </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1、提供符合采购需求全面详实的有效方案，无缺陷，得6分；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2、方案内容存在缺陷的，得4分；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技术服务2</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移动办税APP升级改造技术服务方案进行综合打分，方案至少应包括但不限于以下内容：自然人办税功能升级改造服务；自然人社保功能升级改造服务；自然人服务功能升级改造服务；首页功能升级改造服务；办税功能升级改造服务；服务功能升级改造服务。</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1、提供符合采购需求全面详实的有效方案，无缺陷，得6分；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2、方案内容存在缺陷的，得4分；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技术服务3</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税收低风险提醒优化完善应用升级改造技术服务方案进行综合打分，方案至少应包括但不限于以下内容：税费低风险智能提醒事项升级改造服务；税务端智能工单派送升级改造服务；电子工作平台升级改造服务。</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1、提供符合采购需求全面详实的有效方案，无缺陷，得6分；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2、方案内容存在缺陷的，得4分；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技术力量1</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项目团队人员：投标人团队成员中具有PMP证书或系统项目管理师证书或高级项目经理证书，每提供一证得1分（证书不兼得），满分5分。注：上述人员需提供相关证明材料复印件并加盖投标人公章，否则不得分。</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技术力量2</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项目团队人员：投标人团队成员中具有中级及以上工程师资格证书，每提供一证得1分（证书不兼得），满分6分。注：上述人员需提供相关证明材料复印件并加盖投标人公章，否则不得分。</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技术服务4</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"根据投标人投标文件提供的社保费掌上办升级改造技术服务方案进行综合打分，方案至少应包括但不限于以下内容：每月批扣时间段内功能优化服务；</w:t>
            </w:r>
            <w:r>
              <w:rPr>
                <w:rFonts w:hint="eastAsia" w:ascii="仿宋_GB2312" w:hAnsi="仿宋_GB2312" w:eastAsia="仿宋_GB2312" w:cs="仿宋_GB2312"/>
                <w:kern w:val="0"/>
                <w:sz w:val="21"/>
                <w:szCs w:val="24"/>
                <w:lang w:val="en-US" w:eastAsia="zh-CN" w:bidi="ar-SA"/>
              </w:rPr>
              <w:t>登录</w:t>
            </w:r>
            <w:r>
              <w:rPr>
                <w:rFonts w:ascii="仿宋_GB2312" w:hAnsi="仿宋_GB2312" w:eastAsia="仿宋_GB2312" w:cs="仿宋_GB2312"/>
                <w:kern w:val="0"/>
                <w:sz w:val="21"/>
                <w:szCs w:val="24"/>
                <w:lang w:val="en-US" w:eastAsia="en-US" w:bidi="ar-SA"/>
              </w:rPr>
              <w:t xml:space="preserve">“辽宁社保缴费”新增提示信息；人脸识别功能优化改造服务等。 </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技术服务5</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新电子税务局集成接入本地特色业务改造技术服务方案进行综合打分，方案至少应包括但不限于以下内容：一键零申报（适用于零收入纳税人）改造服务；征纳互动消息推送“辽宁税务企业号”消息改造服务等。</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1、提供符合采购需求全面详实的有效方案，无缺陷，得6分；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2、方案内容存在缺陷的，得4分；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技术服务6</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 xml:space="preserve">"根据投标人投标文件提供的非税收入费源管控子系统（原互联互通平台）优化完善升级改造技术服务方案进行综合打分，方案至少应包括但不限于以下内容：公路路产赔（补）偿费升级改造服务；路路产赔（补）偿费自行申报（企业）升级改造服务；公路路产赔（补）偿费自行申报（自然人）升级改造服务等。 </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技术服务7</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 xml:space="preserve">"根据投标人投标文件提供的环境保护税智能预填升级改造技术服务方案进行综合打分，方案至少应包括但不限于以下内容：数据比对升级改造服务；自动生成预填表及审核升级改造服务；消息推送及待办升级改造服务；税源基础采集信息智能预填升级改造服务。                                                                                               </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1、提供符合采购需求全面详实的有效方案，无缺陷，得6分；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2、方案内容存在缺陷的，得4分；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技术服务8</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先税后证”功能扩展完善升级改造技术服务方案进行综合打分，方案至少应包括但不限于以下内容：提示提醒优化改造服务；查询统计优化改造服务；风险总览（查询）优化改造服务；新增区块链上链情况统计服务等。</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技术服务9</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根据投标人投标文件提供的不动产交易登记+税务区块链优化完善升级改造技术服务方案进行综合打分，方案至少应包括但不限于以下内容：增量房及存量房线上业务待办功能升级改造服务；不动产房屋套次查询升级改造服务；契税免税联系单上链升级改造服务；在线上传不动产交易材料升级改造服务；数据交换升级改造服务。</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1、提供符合采购需求全面详实的有效方案，无缺陷，得3分；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2、方案内容存在缺陷的，得2分；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3、方案内容存在不符合项目需求的，或方案中缺少上述应包括内容任意一项内容的，得1分；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4、未提供方案，得0分。</w:t>
            </w: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注：缺陷是指方案内容与项目需求不一致、存在相互矛盾内容以及未针对本项目编写的任意一种情形。不符合项目需求是指存在与本项目执行无关的内容、存在相关内容在实际操作中不能运用的任意一种情形。"</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restart"/>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商务部分</w:t>
            </w: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质量管理体系认证</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投标人具有ISO9001质量管理体系认证的得1分;没有得0分。             需提供有效期内的资质证书复印件并加盖投标人公章。</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信息安全管理体系认证</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投标人具有ISO27001信息安全管理体系认证的得1分;没有得0分。            需提供有效期内的资质证书复印件并加盖投标人公章。</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信息技术服务管理体系认证</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投标人具有ISO20000信息技术服务管理体系认证的得1分;没有得0分。            需提供有效期内的资质证书复印件并加盖投标人公章。</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vMerge w:val="continue"/>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供应商类似项目业绩</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提供2022年1月1日至评审当日供应商类似项目合同，以合同个数为准，每提供一个合同得2分，最多得10分。时间以签订合同时间为准。提供清晰的合同扫描件装订到响应文件中，否则不予计算。（提供合同复印件并加盖投标人公章）。</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其他</w:t>
            </w: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加分项打分</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创新产品/服务：对于列入《创新产品和服务目录》中的投标产品/服务价格给予价格部分总分值  6 %的加分，计算公式如下：</w:t>
            </w:r>
          </w:p>
          <w:p>
            <w:pPr>
              <w:widowControl/>
              <w:jc w:val="left"/>
              <w:rPr>
                <w:rFonts w:ascii="仿宋_GB2312" w:hAnsi="仿宋_GB2312" w:eastAsia="仿宋_GB2312" w:cs="仿宋_GB2312"/>
                <w:kern w:val="0"/>
                <w:sz w:val="21"/>
                <w:szCs w:val="24"/>
                <w:lang w:val="en-US" w:eastAsia="en-US" w:bidi="ar-SA"/>
              </w:rPr>
            </w:pPr>
          </w:p>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列入《创新产品和服务目录》中的产品/服务加分＝（创新产品/服务投标报价之和/投标总价）×价格部分总分值× 6  %。</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left"/>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合计</w:t>
            </w:r>
          </w:p>
        </w:tc>
        <w:tc>
          <w:tcPr>
            <w:tcW w:w="5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w:t>
            </w:r>
          </w:p>
        </w:tc>
        <w:tc>
          <w:tcPr>
            <w:tcW w:w="160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w:t>
            </w:r>
          </w:p>
        </w:tc>
        <w:tc>
          <w:tcPr>
            <w:tcW w:w="340" w:type="dxa"/>
            <w:tcBorders>
              <w:top w:val="single" w:color="000000" w:sz="2" w:space="0"/>
              <w:left w:val="single" w:color="000000" w:sz="2" w:space="0"/>
              <w:bottom w:val="single" w:color="000000" w:sz="2" w:space="0"/>
              <w:right w:val="single" w:color="000000" w:sz="2" w:space="0"/>
            </w:tcBorders>
            <w:noWrap/>
            <w:tcMar>
              <w:top w:w="100" w:type="dxa"/>
              <w:bottom w:w="100" w:type="dxa"/>
            </w:tcMar>
            <w:vAlign w:val="center"/>
          </w:tcPr>
          <w:p>
            <w:pPr>
              <w:widowControl/>
              <w:jc w:val="center"/>
              <w:rPr>
                <w:rFonts w:ascii="仿宋_GB2312" w:hAnsi="仿宋_GB2312" w:eastAsia="仿宋_GB2312" w:cs="仿宋_GB2312"/>
                <w:kern w:val="0"/>
                <w:sz w:val="21"/>
                <w:szCs w:val="24"/>
                <w:lang w:val="en-US" w:eastAsia="en-US" w:bidi="ar-SA"/>
              </w:rPr>
            </w:pPr>
            <w:r>
              <w:rPr>
                <w:rFonts w:ascii="仿宋_GB2312" w:hAnsi="仿宋_GB2312" w:eastAsia="仿宋_GB2312" w:cs="仿宋_GB2312"/>
                <w:kern w:val="0"/>
                <w:sz w:val="21"/>
                <w:szCs w:val="24"/>
                <w:lang w:val="en-US" w:eastAsia="en-US" w:bidi="ar-SA"/>
              </w:rPr>
              <w:t>100.0</w:t>
            </w:r>
          </w:p>
        </w:tc>
      </w:tr>
    </w:tbl>
    <w:p>
      <w:pPr>
        <w:rPr>
          <w:rFonts w:hint="eastAsia"/>
          <w:color w:val="000080"/>
          <w:sz w:val="20"/>
          <w:highlight w:val="white"/>
        </w:rPr>
      </w:pPr>
      <w:r>
        <w:rPr>
          <w:rFonts w:hint="eastAsia"/>
          <w:color w:val="000080"/>
          <w:sz w:val="20"/>
          <w:highlight w:val="white"/>
        </w:rPr>
        <w:t xml:space="preserve"> </w:t>
      </w:r>
      <w:bookmarkEnd w:id="106"/>
    </w:p>
    <w:p>
      <w:pPr>
        <w:rPr>
          <w:rFonts w:hint="eastAsia"/>
          <w:highlight w:val="yellow"/>
        </w:rPr>
      </w:pPr>
      <w:bookmarkStart w:id="107" w:name="EB1a8a51943dfd4bf896080d94475e99eb"/>
      <w:bookmarkEnd w:id="107"/>
      <w:bookmarkStart w:id="108" w:name="EB26fc9121946b45169a705d120e47828e"/>
      <w:bookmarkEnd w:id="108"/>
    </w:p>
    <w:tbl>
      <w:tblPr>
        <w:tblStyle w:val="20"/>
        <w:tblpPr w:leftFromText="180" w:rightFromText="180" w:vertAnchor="text" w:horzAnchor="margin" w:tblpXSpec="center" w:tblpY="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2"/>
        <w:gridCol w:w="70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1282"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rPr>
                <w:rFonts w:ascii="仿宋_GB2312" w:hAnsi="仿宋_GB2312" w:eastAsia="仿宋_GB2312" w:cs="仿宋_GB2312"/>
                <w:szCs w:val="21"/>
              </w:rPr>
            </w:pPr>
            <w:r>
              <w:rPr>
                <w:rFonts w:hint="eastAsia" w:ascii="仿宋_GB2312" w:hAnsi="仿宋_GB2312" w:eastAsia="仿宋_GB2312" w:cs="仿宋_GB2312"/>
                <w:szCs w:val="21"/>
                <w:highlight w:val="white"/>
              </w:rPr>
              <w:t>评标办法说明</w:t>
            </w:r>
          </w:p>
        </w:tc>
        <w:tc>
          <w:tcPr>
            <w:tcW w:w="704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rPr>
                <w:rFonts w:ascii="仿宋_GB2312" w:hAnsi="仿宋_GB2312" w:eastAsia="仿宋_GB2312" w:cs="仿宋_GB2312"/>
                <w:szCs w:val="21"/>
                <w:highlight w:val="green"/>
              </w:rPr>
            </w:pPr>
            <w:bookmarkStart w:id="109" w:name="EBfcd4aa362d664da7886f4cd48742da50"/>
            <w:bookmarkEnd w:id="109"/>
          </w:p>
        </w:tc>
      </w:tr>
    </w:tbl>
    <w:p>
      <w:pPr>
        <w:rPr>
          <w:rFonts w:hint="eastAsia"/>
          <w:highlight w:val="cyan"/>
        </w:rPr>
      </w:pPr>
      <w:bookmarkStart w:id="110" w:name="EB17012b9c47934c17bfe1343ed06718b2"/>
      <w:bookmarkEnd w:id="110"/>
    </w:p>
    <w:p>
      <w:pPr>
        <w:rPr>
          <w:highlight w:val="cyan"/>
        </w:rPr>
      </w:pPr>
      <w:bookmarkStart w:id="111" w:name="EB9312b6f1e0b9464198506e02f561c05f"/>
      <w:bookmarkEnd w:id="111"/>
    </w:p>
    <w:p>
      <w:pPr>
        <w:rPr>
          <w:rFonts w:hint="eastAsia"/>
          <w:color w:val="000080"/>
          <w:sz w:val="20"/>
        </w:rPr>
      </w:pPr>
      <w:bookmarkStart w:id="112" w:name="EB8af8760a725f4b76a6bb682881672c40"/>
      <w:bookmarkEnd w:id="112"/>
    </w:p>
    <w:p>
      <w:pPr>
        <w:pStyle w:val="2"/>
        <w:keepNext w:val="0"/>
        <w:keepLines w:val="0"/>
        <w:snapToGrid w:val="0"/>
        <w:spacing w:before="319" w:beforeLines="100" w:after="319" w:afterLines="100" w:line="360" w:lineRule="auto"/>
        <w:rPr>
          <w:rFonts w:hint="eastAsia" w:ascii="仿宋_GB2312" w:hAnsi="仿宋_GB2312" w:eastAsia="仿宋_GB2312" w:cs="仿宋_GB2312"/>
          <w:lang w:eastAsia="zh-CN"/>
        </w:rPr>
      </w:pPr>
      <w:bookmarkStart w:id="113" w:name="_Toc256000011"/>
      <w:r>
        <w:rPr>
          <w:rFonts w:hint="eastAsia" w:ascii="仿宋_GB2312" w:hAnsi="仿宋_GB2312" w:eastAsia="仿宋_GB2312" w:cs="仿宋_GB2312"/>
          <w:highlight w:val="white"/>
        </w:rPr>
        <w:t>第五章 政府采购合同条款及格式</w:t>
      </w:r>
      <w:bookmarkEnd w:id="113"/>
    </w:p>
    <w:p>
      <w:pPr>
        <w:rPr>
          <w:rFonts w:hint="eastAsia"/>
          <w:color w:val="000080"/>
          <w:sz w:val="20"/>
          <w:highlight w:val="yellow"/>
        </w:rPr>
      </w:pPr>
      <w:bookmarkStart w:id="114" w:name="EB329651936edf4e519d9688407278d3e4"/>
      <w:bookmarkEnd w:id="114"/>
    </w:p>
    <w:p>
      <w:pPr>
        <w:rPr>
          <w:highlight w:val="cyan"/>
        </w:rPr>
      </w:pPr>
      <w:bookmarkStart w:id="115" w:name="EBc19c98c1f52c4b0dbf276fc86f237b6a"/>
      <w:bookmarkEnd w:id="115"/>
    </w:p>
    <w:p>
      <w:pPr>
        <w:keepNext/>
        <w:keepLines/>
        <w:adjustRightInd w:val="0"/>
        <w:snapToGrid w:val="0"/>
        <w:spacing w:before="140" w:after="140"/>
        <w:outlineLvl w:val="1"/>
        <w:rPr>
          <w:rFonts w:ascii="仿宋_GB2312" w:hAnsi="仿宋_GB2312" w:eastAsia="仿宋_GB2312" w:cs="仿宋_GB2312"/>
          <w:b/>
          <w:sz w:val="28"/>
          <w:szCs w:val="28"/>
        </w:rPr>
      </w:pPr>
      <w:r>
        <w:rPr>
          <w:rFonts w:hint="eastAsia" w:ascii="仿宋_GB2312" w:hAnsi="仿宋_GB2312" w:eastAsia="仿宋_GB2312" w:cs="仿宋_GB2312"/>
          <w:b/>
          <w:sz w:val="28"/>
          <w:szCs w:val="28"/>
          <w:highlight w:val="white"/>
        </w:rPr>
        <w:t>合同条款</w:t>
      </w:r>
    </w:p>
    <w:p>
      <w:pPr>
        <w:spacing w:before="319" w:beforeLines="100" w:after="319" w:afterLines="100" w:line="360" w:lineRule="auto"/>
        <w:jc w:val="center"/>
        <w:rPr>
          <w:rFonts w:ascii="宋体" w:hAnsi="宋体" w:eastAsia="仿宋" w:cs="Lucida Sans Unicode"/>
          <w:b/>
          <w:sz w:val="44"/>
          <w:szCs w:val="44"/>
        </w:rPr>
      </w:pPr>
      <w:r>
        <w:rPr>
          <w:rFonts w:hint="eastAsia" w:ascii="宋体" w:hAnsi="宋体" w:eastAsia="仿宋" w:cs="Lucida Sans Unicode"/>
          <w:b/>
          <w:sz w:val="44"/>
          <w:szCs w:val="44"/>
          <w:highlight w:val="white"/>
        </w:rPr>
        <w:t>政府采购合同条款</w:t>
      </w:r>
    </w:p>
    <w:p>
      <w:pPr>
        <w:numPr>
          <w:ilvl w:val="0"/>
          <w:numId w:val="9"/>
        </w:numPr>
        <w:spacing w:line="360" w:lineRule="auto"/>
        <w:rPr>
          <w:rFonts w:ascii="仿宋_GB2312" w:hAnsi="宋体" w:eastAsia="仿宋_GB2312" w:cs="Calibri"/>
          <w:b/>
          <w:szCs w:val="21"/>
        </w:rPr>
      </w:pPr>
      <w:r>
        <w:rPr>
          <w:rFonts w:hint="eastAsia" w:ascii="仿宋_GB2312" w:hAnsi="宋体" w:eastAsia="仿宋_GB2312" w:cs="Calibri"/>
          <w:b/>
          <w:szCs w:val="21"/>
          <w:highlight w:val="white"/>
        </w:rPr>
        <w:t>术语定义</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本政府采购合同下列术语应解释为：</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w:t>
      </w:r>
      <w:r>
        <w:rPr>
          <w:rFonts w:hint="eastAsia" w:ascii="仿宋_GB2312" w:hAnsi="宋体" w:eastAsia="仿宋_GB2312" w:cs="Calibri"/>
          <w:b/>
          <w:szCs w:val="21"/>
          <w:highlight w:val="white"/>
        </w:rPr>
        <w:t>.</w:t>
      </w:r>
      <w:r>
        <w:rPr>
          <w:rFonts w:hint="eastAsia" w:ascii="仿宋_GB2312" w:eastAsia="仿宋_GB2312" w:cs="Calibri"/>
          <w:szCs w:val="21"/>
          <w:highlight w:val="white"/>
        </w:rPr>
        <w:t>1</w:t>
      </w:r>
      <w:r>
        <w:rPr>
          <w:rFonts w:hint="eastAsia" w:ascii="仿宋_GB2312" w:hAnsi="宋体" w:eastAsia="仿宋_GB2312" w:cs="Calibri"/>
          <w:szCs w:val="21"/>
          <w:highlight w:val="white"/>
        </w:rPr>
        <w:t>“政府采购合同”指供需双方依照政府采购程序、按照招标文件、投标文件确定的事项所达成的协议，包括附件、附录和上述文件所提到的构成政府采购合同的所有文件。</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w:t>
      </w:r>
      <w:r>
        <w:rPr>
          <w:rFonts w:hint="eastAsia" w:ascii="仿宋_GB2312" w:hAnsi="宋体" w:eastAsia="仿宋_GB2312" w:cs="Calibri"/>
          <w:b/>
          <w:szCs w:val="21"/>
          <w:highlight w:val="white"/>
        </w:rPr>
        <w:t>.</w:t>
      </w:r>
      <w:r>
        <w:rPr>
          <w:rFonts w:hint="eastAsia" w:ascii="仿宋_GB2312" w:eastAsia="仿宋_GB2312" w:cs="Calibri"/>
          <w:szCs w:val="21"/>
          <w:highlight w:val="white"/>
        </w:rPr>
        <w:t xml:space="preserve">2 </w:t>
      </w:r>
      <w:r>
        <w:rPr>
          <w:rFonts w:hint="eastAsia" w:ascii="仿宋_GB2312" w:hAnsi="宋体" w:eastAsia="仿宋_GB2312" w:cs="Calibri"/>
          <w:szCs w:val="21"/>
          <w:highlight w:val="white"/>
        </w:rPr>
        <w:t>“政府采购合同价”指根据合同约定供方在正确地完全履行政府采购合同义务后需方应支付给供方的价格。</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w:t>
      </w:r>
      <w:r>
        <w:rPr>
          <w:rFonts w:hint="eastAsia" w:ascii="仿宋_GB2312" w:hAnsi="宋体" w:eastAsia="仿宋_GB2312" w:cs="Calibri"/>
          <w:b/>
          <w:szCs w:val="21"/>
          <w:highlight w:val="white"/>
        </w:rPr>
        <w:t>.</w:t>
      </w:r>
      <w:r>
        <w:rPr>
          <w:rFonts w:hint="eastAsia" w:ascii="仿宋_GB2312" w:eastAsia="仿宋_GB2312" w:cs="Calibri"/>
          <w:szCs w:val="21"/>
          <w:highlight w:val="white"/>
        </w:rPr>
        <w:t xml:space="preserve">3 </w:t>
      </w:r>
      <w:r>
        <w:rPr>
          <w:rFonts w:hint="eastAsia" w:ascii="仿宋_GB2312" w:hAnsi="宋体" w:eastAsia="仿宋_GB2312" w:cs="Calibri"/>
          <w:szCs w:val="21"/>
          <w:highlight w:val="white"/>
        </w:rPr>
        <w:t>“服务”指政府采购合同服务清单（同投标文件中开标一览表及其附表，下同）所约定的服务内容。</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w:t>
      </w:r>
      <w:r>
        <w:rPr>
          <w:rFonts w:hint="eastAsia" w:ascii="仿宋_GB2312" w:hAnsi="宋体" w:eastAsia="仿宋_GB2312" w:cs="Calibri"/>
          <w:b/>
          <w:szCs w:val="21"/>
          <w:highlight w:val="white"/>
        </w:rPr>
        <w:t>.</w:t>
      </w:r>
      <w:r>
        <w:rPr>
          <w:rFonts w:hint="eastAsia" w:ascii="仿宋_GB2312" w:eastAsia="仿宋_GB2312" w:cs="Calibri"/>
          <w:szCs w:val="21"/>
          <w:highlight w:val="white"/>
        </w:rPr>
        <w:t xml:space="preserve">5 </w:t>
      </w:r>
      <w:r>
        <w:rPr>
          <w:rFonts w:hint="eastAsia" w:ascii="仿宋_GB2312" w:hAnsi="宋体" w:eastAsia="仿宋_GB2312" w:cs="Calibri"/>
          <w:szCs w:val="21"/>
          <w:highlight w:val="white"/>
        </w:rPr>
        <w:t>“需方”指项目基本内容及要求中所述取得产品和服务的采购单位。</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w:t>
      </w:r>
      <w:r>
        <w:rPr>
          <w:rFonts w:hint="eastAsia" w:ascii="仿宋_GB2312" w:hAnsi="宋体" w:eastAsia="仿宋_GB2312" w:cs="Calibri"/>
          <w:b/>
          <w:szCs w:val="21"/>
          <w:highlight w:val="white"/>
        </w:rPr>
        <w:t>.</w:t>
      </w:r>
      <w:r>
        <w:rPr>
          <w:rFonts w:hint="eastAsia" w:ascii="仿宋_GB2312" w:eastAsia="仿宋_GB2312" w:cs="Calibri"/>
          <w:szCs w:val="21"/>
          <w:highlight w:val="white"/>
        </w:rPr>
        <w:t xml:space="preserve">6 </w:t>
      </w:r>
      <w:r>
        <w:rPr>
          <w:rFonts w:hint="eastAsia" w:ascii="仿宋_GB2312" w:hAnsi="宋体" w:eastAsia="仿宋_GB2312" w:cs="Calibri"/>
          <w:szCs w:val="21"/>
          <w:highlight w:val="white"/>
        </w:rPr>
        <w:t>“供方”指项目基本内容及要求中所述提供产品和服务的中标供应商。</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w:t>
      </w:r>
      <w:r>
        <w:rPr>
          <w:rFonts w:hint="eastAsia" w:ascii="仿宋_GB2312" w:hAnsi="宋体" w:eastAsia="仿宋_GB2312" w:cs="Calibri"/>
          <w:b/>
          <w:szCs w:val="21"/>
          <w:highlight w:val="white"/>
        </w:rPr>
        <w:t>.</w:t>
      </w:r>
      <w:r>
        <w:rPr>
          <w:rFonts w:hint="eastAsia" w:ascii="仿宋_GB2312" w:eastAsia="仿宋_GB2312" w:cs="Calibri"/>
          <w:szCs w:val="21"/>
          <w:highlight w:val="white"/>
        </w:rPr>
        <w:t xml:space="preserve">7 </w:t>
      </w:r>
      <w:r>
        <w:rPr>
          <w:rFonts w:hint="eastAsia" w:ascii="仿宋_GB2312" w:hAnsi="宋体" w:eastAsia="仿宋_GB2312" w:cs="Calibri"/>
          <w:szCs w:val="21"/>
          <w:highlight w:val="white"/>
        </w:rPr>
        <w:t>“检验”指需方按照政府采购合同约定的标准对供方所提供服务进行的检测和查验。</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w:t>
      </w:r>
      <w:r>
        <w:rPr>
          <w:rFonts w:hint="eastAsia" w:ascii="仿宋_GB2312" w:hAnsi="宋体" w:eastAsia="仿宋_GB2312" w:cs="Calibri"/>
          <w:b/>
          <w:szCs w:val="21"/>
          <w:highlight w:val="white"/>
        </w:rPr>
        <w:t>.</w:t>
      </w:r>
      <w:r>
        <w:rPr>
          <w:rFonts w:hint="eastAsia" w:ascii="仿宋_GB2312" w:eastAsia="仿宋_GB2312" w:cs="Calibri"/>
          <w:szCs w:val="21"/>
          <w:highlight w:val="white"/>
        </w:rPr>
        <w:t xml:space="preserve">8 </w:t>
      </w:r>
      <w:r>
        <w:rPr>
          <w:rFonts w:hint="eastAsia" w:ascii="仿宋_GB2312" w:hAnsi="宋体" w:eastAsia="仿宋_GB2312" w:cs="Calibri"/>
          <w:szCs w:val="21"/>
          <w:highlight w:val="white"/>
        </w:rPr>
        <w:t>“验收书”指采购单位或</w:t>
      </w:r>
      <w:r>
        <w:rPr>
          <w:rFonts w:hint="eastAsia" w:ascii="仿宋_GB2312" w:hAnsi="宋体" w:eastAsia="仿宋_GB2312" w:cs="Lucida Sans Unicode"/>
          <w:szCs w:val="21"/>
          <w:highlight w:val="white"/>
        </w:rPr>
        <w:t>采购代理机构</w:t>
      </w:r>
      <w:r>
        <w:rPr>
          <w:rFonts w:hint="eastAsia" w:ascii="仿宋_GB2312" w:hAnsi="宋体" w:eastAsia="仿宋_GB2312" w:cs="Calibri"/>
          <w:szCs w:val="21"/>
          <w:highlight w:val="white"/>
        </w:rPr>
        <w:t>根据合同履约验收意见书形成反映采购单位和组织验收机构意见的文件。</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1.9 “天”指日历天数（如无特别说明）。</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w:t>
      </w:r>
      <w:r>
        <w:rPr>
          <w:rFonts w:hint="eastAsia" w:ascii="仿宋_GB2312" w:hAnsi="宋体" w:eastAsia="仿宋_GB2312" w:cs="Calibri"/>
          <w:b/>
          <w:szCs w:val="21"/>
          <w:highlight w:val="white"/>
        </w:rPr>
        <w:t>.</w:t>
      </w:r>
      <w:r>
        <w:rPr>
          <w:rFonts w:hint="eastAsia" w:ascii="仿宋_GB2312" w:eastAsia="仿宋_GB2312" w:cs="Calibri"/>
          <w:szCs w:val="21"/>
          <w:highlight w:val="white"/>
        </w:rPr>
        <w:t>10</w:t>
      </w:r>
      <w:r>
        <w:rPr>
          <w:rFonts w:hint="eastAsia" w:ascii="仿宋_GB2312" w:hAnsi="宋体" w:eastAsia="仿宋_GB2312" w:cs="Calibri"/>
          <w:szCs w:val="21"/>
          <w:highlight w:val="white"/>
        </w:rPr>
        <w:t>“第三人”是指本政府采购合同双方以外的任何中国境内外的自然人、法人或其它经济组织。</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w:t>
      </w:r>
      <w:r>
        <w:rPr>
          <w:rFonts w:hint="eastAsia" w:ascii="仿宋_GB2312" w:hAnsi="宋体" w:eastAsia="仿宋_GB2312" w:cs="Calibri"/>
          <w:b/>
          <w:szCs w:val="21"/>
          <w:highlight w:val="white"/>
        </w:rPr>
        <w:t>.</w:t>
      </w:r>
      <w:r>
        <w:rPr>
          <w:rFonts w:hint="eastAsia" w:ascii="仿宋_GB2312" w:eastAsia="仿宋_GB2312" w:cs="Calibri"/>
          <w:szCs w:val="21"/>
          <w:highlight w:val="white"/>
        </w:rPr>
        <w:t>11</w:t>
      </w:r>
      <w:r>
        <w:rPr>
          <w:rFonts w:hint="eastAsia" w:ascii="仿宋_GB2312" w:hAnsi="宋体" w:eastAsia="仿宋_GB2312" w:cs="Calibri"/>
          <w:szCs w:val="21"/>
          <w:highlight w:val="white"/>
        </w:rPr>
        <w:t>“法律、法规”是指由中国各级政府及有关部门制定的法律、行政法规、地方性法规、规章及其它规范性文件的有关规定。</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w:t>
      </w:r>
      <w:r>
        <w:rPr>
          <w:rFonts w:hint="eastAsia" w:ascii="仿宋_GB2312" w:hAnsi="宋体" w:eastAsia="仿宋_GB2312" w:cs="Calibri"/>
          <w:b/>
          <w:szCs w:val="21"/>
          <w:highlight w:val="white"/>
        </w:rPr>
        <w:t>.</w:t>
      </w:r>
      <w:r>
        <w:rPr>
          <w:rFonts w:hint="eastAsia" w:ascii="仿宋_GB2312" w:eastAsia="仿宋_GB2312" w:cs="Calibri"/>
          <w:szCs w:val="21"/>
          <w:highlight w:val="white"/>
        </w:rPr>
        <w:t>12</w:t>
      </w:r>
      <w:r>
        <w:rPr>
          <w:rFonts w:hint="eastAsia" w:ascii="仿宋_GB2312" w:hAnsi="宋体" w:eastAsia="仿宋_GB2312" w:cs="Calibri"/>
          <w:szCs w:val="21"/>
          <w:highlight w:val="white"/>
        </w:rPr>
        <w:t>“招标文件”指采购人或</w:t>
      </w:r>
      <w:r>
        <w:rPr>
          <w:rFonts w:hint="eastAsia" w:ascii="仿宋_GB2312" w:hAnsi="宋体" w:eastAsia="仿宋_GB2312" w:cs="Lucida Sans Unicode"/>
          <w:szCs w:val="21"/>
          <w:highlight w:val="white"/>
        </w:rPr>
        <w:t>采购代理机构</w:t>
      </w:r>
      <w:r>
        <w:rPr>
          <w:rFonts w:hint="eastAsia" w:ascii="仿宋_GB2312" w:hAnsi="宋体" w:eastAsia="仿宋_GB2312" w:cs="Calibri"/>
          <w:szCs w:val="21"/>
          <w:highlight w:val="white"/>
        </w:rPr>
        <w:t>发布的招标文件。</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1</w:t>
      </w:r>
      <w:r>
        <w:rPr>
          <w:rFonts w:hint="eastAsia" w:ascii="仿宋_GB2312" w:hAnsi="宋体" w:eastAsia="仿宋_GB2312" w:cs="Calibri"/>
          <w:b/>
          <w:szCs w:val="21"/>
          <w:highlight w:val="white"/>
        </w:rPr>
        <w:t>.</w:t>
      </w:r>
      <w:r>
        <w:rPr>
          <w:rFonts w:hint="eastAsia" w:ascii="仿宋_GB2312" w:eastAsia="仿宋_GB2312" w:cs="Calibri"/>
          <w:szCs w:val="21"/>
          <w:highlight w:val="white"/>
        </w:rPr>
        <w:t>13</w:t>
      </w:r>
      <w:r>
        <w:rPr>
          <w:rFonts w:hint="eastAsia" w:ascii="仿宋_GB2312" w:hAnsi="宋体" w:eastAsia="仿宋_GB2312" w:cs="Calibri"/>
          <w:szCs w:val="21"/>
          <w:highlight w:val="white"/>
        </w:rPr>
        <w:t>“投标文件”指供方按照</w:t>
      </w:r>
      <w:r>
        <w:rPr>
          <w:rFonts w:hint="eastAsia" w:ascii="仿宋_GB2312" w:hAnsi="宋体" w:eastAsia="仿宋_GB2312" w:cs="Lucida Sans Unicode"/>
          <w:szCs w:val="21"/>
          <w:highlight w:val="white"/>
        </w:rPr>
        <w:t>采购代理机构</w:t>
      </w:r>
      <w:r>
        <w:rPr>
          <w:rFonts w:hint="eastAsia" w:ascii="仿宋_GB2312" w:hAnsi="宋体" w:eastAsia="仿宋_GB2312" w:cs="Calibri"/>
          <w:szCs w:val="21"/>
          <w:highlight w:val="white"/>
        </w:rPr>
        <w:t>招标文件的要求编制和递交，并最终被评标委员会接受的投标文件。</w:t>
      </w:r>
    </w:p>
    <w:p>
      <w:pPr>
        <w:spacing w:line="360" w:lineRule="auto"/>
        <w:ind w:firstLine="417" w:firstLineChars="199"/>
        <w:rPr>
          <w:rFonts w:ascii="仿宋_GB2312" w:hAnsi="宋体" w:eastAsia="仿宋_GB2312" w:cs="Calibri"/>
          <w:b/>
          <w:szCs w:val="21"/>
        </w:rPr>
      </w:pPr>
      <w:r>
        <w:rPr>
          <w:rFonts w:hint="eastAsia" w:ascii="仿宋_GB2312" w:hAnsi="宋体" w:eastAsia="仿宋_GB2312" w:cs="Calibri"/>
          <w:b/>
          <w:szCs w:val="21"/>
          <w:highlight w:val="white"/>
        </w:rPr>
        <w:t>2.技术规范与服务内容</w:t>
      </w:r>
    </w:p>
    <w:p>
      <w:pPr>
        <w:spacing w:line="360" w:lineRule="auto"/>
        <w:ind w:firstLine="417" w:firstLineChars="199"/>
        <w:rPr>
          <w:rFonts w:ascii="仿宋_GB2312" w:hAnsi="宋体" w:eastAsia="仿宋_GB2312" w:cs="Calibri"/>
          <w:szCs w:val="21"/>
        </w:rPr>
      </w:pPr>
      <w:r>
        <w:rPr>
          <w:rFonts w:hint="eastAsia" w:ascii="仿宋_GB2312" w:hAnsi="宋体" w:eastAsia="仿宋_GB2312" w:cs="Calibri"/>
          <w:szCs w:val="21"/>
          <w:highlight w:val="white"/>
        </w:rPr>
        <w:t>2.1投标服务的技术规范应与招标文件规定的技术规范（如果有的话）相一致。若无相应说明，则以国家有关部门最新颁布的相应标准及规范为准。</w:t>
      </w:r>
    </w:p>
    <w:p>
      <w:pPr>
        <w:spacing w:line="360" w:lineRule="auto"/>
        <w:ind w:firstLine="417" w:firstLineChars="199"/>
        <w:rPr>
          <w:rFonts w:ascii="仿宋_GB2312" w:hAnsi="宋体" w:eastAsia="仿宋_GB2312" w:cs="Calibri"/>
          <w:szCs w:val="21"/>
        </w:rPr>
      </w:pPr>
      <w:r>
        <w:rPr>
          <w:rFonts w:hint="eastAsia" w:ascii="仿宋_GB2312" w:hAnsi="宋体" w:eastAsia="仿宋_GB2312" w:cs="Calibri"/>
          <w:szCs w:val="21"/>
          <w:highlight w:val="white"/>
        </w:rPr>
        <w:t>2.2 投标服务的服务内容应与招标文件规定服务内容及投标文件中的项目要求及投标响应表一致。</w:t>
      </w:r>
    </w:p>
    <w:p>
      <w:pPr>
        <w:spacing w:line="360" w:lineRule="auto"/>
        <w:ind w:firstLine="417" w:firstLineChars="199"/>
        <w:rPr>
          <w:rFonts w:ascii="仿宋_GB2312" w:hAnsi="宋体" w:eastAsia="仿宋_GB2312" w:cs="Calibri"/>
          <w:b/>
          <w:szCs w:val="21"/>
        </w:rPr>
      </w:pPr>
      <w:r>
        <w:rPr>
          <w:rFonts w:hint="eastAsia" w:ascii="仿宋_GB2312" w:hAnsi="宋体" w:eastAsia="仿宋_GB2312" w:cs="Calibri"/>
          <w:b/>
          <w:szCs w:val="21"/>
          <w:highlight w:val="white"/>
        </w:rPr>
        <w:t>3.知识产权</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3.1供方应保证需方在使用本政府采购合同项下的服务或其任何一部分时免受第三方提出侵犯其知识产权、商标权或工业设计权的起诉。如果发生此类问题，供方负责交涉、处理并承担由此引起的全部法律及经济责任。</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3.2供方应保证所供服务符合国家的有关规定。</w:t>
      </w:r>
    </w:p>
    <w:p>
      <w:pPr>
        <w:tabs>
          <w:tab w:val="left" w:pos="360"/>
        </w:tabs>
        <w:spacing w:line="360" w:lineRule="auto"/>
        <w:ind w:firstLine="417" w:firstLineChars="199"/>
        <w:rPr>
          <w:rFonts w:ascii="仿宋_GB2312" w:hAnsi="宋体" w:eastAsia="仿宋_GB2312" w:cs="Calibri"/>
          <w:szCs w:val="21"/>
        </w:rPr>
      </w:pPr>
      <w:r>
        <w:rPr>
          <w:rFonts w:hint="eastAsia" w:ascii="仿宋_GB2312" w:hAnsi="宋体" w:eastAsia="仿宋_GB2312" w:cs="Calibri"/>
          <w:szCs w:val="21"/>
          <w:highlight w:val="white"/>
        </w:rPr>
        <w:t>3.3供方保证，供方依据本政府采购合同提供的服务及相关的软件和技术资料，供方均已得到有关知识产权的权利人的合法授权，如发生涉及</w:t>
      </w:r>
      <w:bookmarkStart w:id="123" w:name="_GoBack"/>
      <w:bookmarkEnd w:id="123"/>
      <w:r>
        <w:rPr>
          <w:rFonts w:hint="eastAsia" w:ascii="仿宋_GB2312" w:hAnsi="宋体" w:eastAsia="仿宋_GB2312" w:cs="Calibri"/>
          <w:szCs w:val="21"/>
          <w:highlight w:val="white"/>
        </w:rPr>
        <w:t>专利权、著作权、商标权等争议，供方负责交涉、处理，并承担由此引起的全部法律及经济责任。</w:t>
      </w:r>
    </w:p>
    <w:p>
      <w:pPr>
        <w:spacing w:line="360" w:lineRule="auto"/>
        <w:ind w:firstLine="417" w:firstLineChars="199"/>
        <w:rPr>
          <w:rFonts w:ascii="仿宋_GB2312" w:hAnsi="宋体" w:eastAsia="仿宋_GB2312" w:cs="Calibri"/>
          <w:b/>
          <w:szCs w:val="21"/>
        </w:rPr>
      </w:pPr>
      <w:r>
        <w:rPr>
          <w:rFonts w:hint="eastAsia" w:ascii="仿宋_GB2312" w:hAnsi="宋体" w:eastAsia="仿宋_GB2312" w:cs="Calibri"/>
          <w:b/>
          <w:szCs w:val="21"/>
          <w:highlight w:val="white"/>
        </w:rPr>
        <w:t>4.完成方式</w:t>
      </w:r>
    </w:p>
    <w:p>
      <w:pPr>
        <w:spacing w:line="360" w:lineRule="auto"/>
        <w:ind w:firstLine="417" w:firstLineChars="199"/>
        <w:rPr>
          <w:rFonts w:ascii="仿宋_GB2312" w:hAnsi="宋体" w:eastAsia="仿宋_GB2312" w:cs="Calibri"/>
          <w:szCs w:val="21"/>
        </w:rPr>
      </w:pPr>
      <w:r>
        <w:rPr>
          <w:rFonts w:hint="eastAsia" w:ascii="仿宋_GB2312" w:hAnsi="宋体" w:eastAsia="仿宋_GB2312" w:cs="Calibri"/>
          <w:szCs w:val="21"/>
          <w:highlight w:val="white"/>
        </w:rPr>
        <w:t>供方按照合同约定的时间、地点完成服务。</w:t>
      </w:r>
    </w:p>
    <w:p>
      <w:pPr>
        <w:spacing w:line="360" w:lineRule="auto"/>
        <w:ind w:firstLine="417" w:firstLineChars="199"/>
        <w:rPr>
          <w:rFonts w:ascii="仿宋_GB2312" w:hAnsi="宋体" w:eastAsia="仿宋_GB2312" w:cs="Calibri"/>
          <w:b/>
          <w:szCs w:val="21"/>
        </w:rPr>
      </w:pPr>
      <w:r>
        <w:rPr>
          <w:rFonts w:hint="eastAsia" w:ascii="仿宋_GB2312" w:hAnsi="宋体" w:eastAsia="仿宋_GB2312" w:cs="Calibri"/>
          <w:b/>
          <w:szCs w:val="21"/>
          <w:highlight w:val="white"/>
        </w:rPr>
        <w:t>5.付款</w:t>
      </w:r>
    </w:p>
    <w:p>
      <w:pPr>
        <w:spacing w:line="360" w:lineRule="auto"/>
        <w:ind w:firstLine="417" w:firstLineChars="199"/>
        <w:rPr>
          <w:rFonts w:ascii="仿宋_GB2312" w:hAnsi="宋体" w:eastAsia="仿宋_GB2312" w:cs="Calibri"/>
          <w:szCs w:val="21"/>
        </w:rPr>
      </w:pPr>
      <w:r>
        <w:rPr>
          <w:rFonts w:hint="eastAsia" w:ascii="仿宋_GB2312" w:hAnsi="宋体" w:eastAsia="仿宋_GB2312" w:cs="Calibri"/>
          <w:szCs w:val="21"/>
          <w:highlight w:val="white"/>
        </w:rPr>
        <w:t>5.1政府采购合同以人民币付款。</w:t>
      </w:r>
    </w:p>
    <w:p>
      <w:pPr>
        <w:spacing w:line="360" w:lineRule="auto"/>
        <w:ind w:firstLine="417" w:firstLineChars="199"/>
        <w:rPr>
          <w:rFonts w:ascii="仿宋_GB2312" w:hAnsi="宋体" w:eastAsia="仿宋_GB2312" w:cs="Calibri"/>
          <w:szCs w:val="21"/>
        </w:rPr>
      </w:pPr>
      <w:r>
        <w:rPr>
          <w:rFonts w:hint="eastAsia" w:ascii="仿宋_GB2312" w:hAnsi="宋体" w:eastAsia="仿宋_GB2312" w:cs="Calibri"/>
          <w:szCs w:val="21"/>
          <w:highlight w:val="white"/>
        </w:rPr>
        <w:t>5.2在供方按照政府采购合同的规定履行服务后，需方按照合同约定的方式和条件付款。</w:t>
      </w:r>
    </w:p>
    <w:p>
      <w:pPr>
        <w:spacing w:line="360" w:lineRule="auto"/>
        <w:ind w:firstLine="420" w:firstLineChars="200"/>
        <w:rPr>
          <w:rFonts w:ascii="仿宋_GB2312" w:hAnsi="宋体" w:eastAsia="仿宋_GB2312" w:cs="Calibri"/>
          <w:b/>
          <w:szCs w:val="21"/>
        </w:rPr>
      </w:pPr>
      <w:r>
        <w:rPr>
          <w:rFonts w:hint="eastAsia" w:ascii="仿宋_GB2312" w:hAnsi="宋体" w:eastAsia="仿宋_GB2312" w:cs="Calibri"/>
          <w:b/>
          <w:szCs w:val="21"/>
          <w:highlight w:val="white"/>
        </w:rPr>
        <w:t>6.服务质量</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6.1供方应保证政府采购合同项下所供服务是由供方提供的，并完全符合强制性的国家技术质量规范和政府采购合同规定的质量、性能和技术规范等要求。</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6.2供方提供的服务质量应满足行业一般标准，符合合同约定。</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6.3需方有权对供方的服务质量进行监督，发现服务存在不符合合同标准的情形的，可以要求供方改正服务方式、替换服务人员等补救方式，供方应按需方要求改正，并赔偿需方实际损失。</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6.4对于委托开发等最终以产品形式交付需方使用的服务，供方需按照招标文件要求对产品提供售后服务及质量保证，供方投标文件承诺的售后服务及质量保证优于招标文件要求的，以投标文件承诺的售后服务及质量保证为准。</w:t>
      </w:r>
    </w:p>
    <w:p>
      <w:pPr>
        <w:spacing w:line="360" w:lineRule="auto"/>
        <w:ind w:firstLine="411" w:firstLineChars="196"/>
        <w:rPr>
          <w:rFonts w:ascii="仿宋_GB2312" w:hAnsi="宋体" w:eastAsia="仿宋_GB2312" w:cs="Calibri"/>
          <w:b/>
          <w:szCs w:val="21"/>
        </w:rPr>
      </w:pPr>
      <w:r>
        <w:rPr>
          <w:rFonts w:hint="eastAsia" w:ascii="仿宋_GB2312" w:hAnsi="宋体" w:eastAsia="仿宋_GB2312" w:cs="Calibri"/>
          <w:b/>
          <w:szCs w:val="21"/>
          <w:highlight w:val="white"/>
        </w:rPr>
        <w:t>7.技术服务和保修责任</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7.1本条适用于</w:t>
      </w:r>
      <w:r>
        <w:rPr>
          <w:rFonts w:hint="eastAsia" w:ascii="仿宋_GB2312" w:hAnsi="宋体" w:eastAsia="仿宋_GB2312" w:cs="Arial"/>
          <w:szCs w:val="21"/>
          <w:highlight w:val="white"/>
        </w:rPr>
        <w:t>委托开发等最终以产品形式交付需方使用的服务。</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7.2供方对交付的产品的保修期，以招标文件中的规定为准，如果投标文件中的承诺优于招标文件规定，则以投标文件为准。</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7.3供方应按如下内容提供售后服务：</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7.3.1产品经过试运行期，所有性能指标达到技术规范书的要求时，可按招标文件、投标文件内容进行初验。在试运行期间，由于产品质量等造成某些指标达不到要求，供方须更换或进行修复，试运行期重新计算。</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7.3.2初验后，设备再次经过试运行期，所有性能指标达到技术规范书的要求时，可按合同招标文件、投标文件内容进行下一步验收工作，进行终验。全部达到要求时，有关方按财政部和省财政厅关于履约验收规定签署最终验收文件。</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7.3.3保修期间供方要保修除消耗品以外的所有产品。如果系统、设备等发生故障，供方要调查故障原因并修复直至满足最终验收指标和性能的要求，或者修理、更换整个或部分有缺陷的材料。</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7.3.4保修期内，供方提供电话、电子邮件、Web、现场服务等方式的技术支持，对用户的现场服务要求，供方必须按投标文件做出的承诺进行响应。</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7.3.5保修期内，供方应对出现故障无法修复的产品或无法正常运行的系统，提供替代产品以保证系统的正常工作。</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7.3.6保修期内，供方应投标时的承诺提供相关服务。</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7.3.7供方必须为维修和技术支持所未能解决的问题和故障提供正式的免费升级方案和升级服务。在质保期内，供方有责任解决所提供的投标货物和软件系统的任何问题；在质保期满后，当需要时，供方仍须对因投标货物本身的固有缺陷和瑕疵承担责任。</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7.3.8在保修期结束后，产品寿命期内供方必须继续提供对产品备件、故障处理、软件升级等的服务，不得以任何借口拖延或中断对产品的售后服务，响应时间、取费标准按招标文件、投标文件规定或本合同约定的保修期内的相关标准执行。</w:t>
      </w:r>
    </w:p>
    <w:p>
      <w:pPr>
        <w:spacing w:line="360" w:lineRule="auto"/>
        <w:ind w:firstLine="411" w:firstLineChars="196"/>
        <w:rPr>
          <w:rFonts w:ascii="仿宋_GB2312" w:hAnsi="宋体" w:eastAsia="仿宋_GB2312" w:cs="Calibri"/>
          <w:szCs w:val="21"/>
        </w:rPr>
      </w:pPr>
      <w:r>
        <w:rPr>
          <w:rFonts w:hint="eastAsia" w:ascii="仿宋_GB2312" w:hAnsi="宋体" w:eastAsia="仿宋_GB2312" w:cs="Calibri"/>
          <w:szCs w:val="21"/>
          <w:highlight w:val="white"/>
        </w:rPr>
        <w:t>7.3.9如果供方提供货物出现质量问题，经需方通知，供方未按时回应、借故推脱、无理由拒绝需方提出的维修、更换服务请求，或者未按照约定期限履行维修、更换义务，需方有权另行委托第三方进行维修，由此产生的维修和备件费用，由供方承担。 需方有权对维修或更换服务以实际发生的费用或按市场价从尚未支付的政府采购合同价款中扣除。如果这些金额不足以补偿，需方有权向供方提出不足部分的赔偿要求。货物经维修或更换后仍无法达到约定质量要求和技术标准，需方有权退货并向供方索赔。</w:t>
      </w:r>
    </w:p>
    <w:p>
      <w:pPr>
        <w:spacing w:line="360" w:lineRule="auto"/>
        <w:ind w:firstLine="417" w:firstLineChars="199"/>
        <w:rPr>
          <w:rFonts w:ascii="仿宋_GB2312" w:hAnsi="宋体" w:eastAsia="仿宋_GB2312" w:cs="Calibri"/>
          <w:szCs w:val="21"/>
        </w:rPr>
      </w:pPr>
      <w:r>
        <w:rPr>
          <w:rFonts w:hint="eastAsia" w:ascii="仿宋_GB2312" w:hAnsi="宋体" w:eastAsia="仿宋_GB2312" w:cs="Calibri"/>
          <w:szCs w:val="21"/>
          <w:highlight w:val="white"/>
        </w:rPr>
        <w:t>7.3.10如果供方所提供货物发生质量责任事故，从而导致需方或者第三方发生损失或者需方被第三方索赔或者需方遭受处罚，经质量技术监督部门或其他机构认定事故为货物存在质量问题导致，则应由供方承担由此造成的一切责任，包括但不限于：赔偿需方或第三方直接或者间接的损失，赔偿需方因事故支付给第三方的赔偿金额，赔偿需方因处理事故所花费的合理费用，赔付需方因事故责任产生的罚款或其他费用。本条款在质保期及合同期届满后持续有效。</w:t>
      </w:r>
    </w:p>
    <w:p>
      <w:pPr>
        <w:spacing w:line="360" w:lineRule="auto"/>
        <w:ind w:firstLine="417" w:firstLineChars="199"/>
        <w:rPr>
          <w:rFonts w:ascii="仿宋_GB2312" w:hAnsi="宋体" w:eastAsia="仿宋_GB2312" w:cs="Calibri"/>
          <w:b/>
          <w:szCs w:val="21"/>
        </w:rPr>
      </w:pPr>
      <w:r>
        <w:rPr>
          <w:rFonts w:hint="eastAsia" w:ascii="仿宋_GB2312" w:hAnsi="宋体" w:eastAsia="仿宋_GB2312" w:cs="Calibri"/>
          <w:b/>
          <w:szCs w:val="21"/>
          <w:highlight w:val="white"/>
        </w:rPr>
        <w:t>8.检验和验收</w:t>
      </w:r>
    </w:p>
    <w:p>
      <w:pPr>
        <w:spacing w:line="360" w:lineRule="auto"/>
        <w:ind w:firstLine="417" w:firstLineChars="199"/>
        <w:rPr>
          <w:rFonts w:ascii="仿宋_GB2312" w:hAnsi="宋体" w:eastAsia="仿宋_GB2312" w:cs="Calibri"/>
          <w:szCs w:val="21"/>
        </w:rPr>
      </w:pPr>
      <w:r>
        <w:rPr>
          <w:rFonts w:hint="eastAsia" w:ascii="仿宋_GB2312" w:hAnsi="宋体" w:eastAsia="仿宋_GB2312" w:cs="Calibri"/>
          <w:szCs w:val="21"/>
          <w:highlight w:val="white"/>
        </w:rPr>
        <w:t>8.1完成服务后，需方或采购代理机构（由具体项目决定）应在政府采购合同规定的时间内组织验收，并在“验收书”上签字。“验收书”将作为申请付款文件的一部分。</w:t>
      </w:r>
    </w:p>
    <w:p>
      <w:pPr>
        <w:spacing w:line="360" w:lineRule="auto"/>
        <w:ind w:firstLine="417" w:firstLineChars="199"/>
        <w:rPr>
          <w:rFonts w:ascii="仿宋_GB2312" w:hAnsi="宋体" w:eastAsia="仿宋_GB2312" w:cs="Calibri"/>
          <w:szCs w:val="21"/>
        </w:rPr>
      </w:pPr>
      <w:r>
        <w:rPr>
          <w:rFonts w:hint="eastAsia" w:ascii="仿宋_GB2312" w:hAnsi="宋体" w:eastAsia="仿宋_GB2312" w:cs="Calibri"/>
          <w:szCs w:val="21"/>
          <w:highlight w:val="white"/>
        </w:rPr>
        <w:t>8.2</w:t>
      </w:r>
      <w:r>
        <w:rPr>
          <w:rFonts w:hint="eastAsia" w:ascii="仿宋_GB2312" w:hAnsi="宋体" w:eastAsia="仿宋_GB2312" w:cs="Arial"/>
          <w:szCs w:val="21"/>
          <w:highlight w:val="white"/>
        </w:rPr>
        <w:t>对于委托开发等最终以产品形式交付需方使用的服务，</w:t>
      </w:r>
      <w:r>
        <w:rPr>
          <w:rFonts w:hint="eastAsia" w:ascii="仿宋_GB2312" w:hAnsi="宋体" w:eastAsia="仿宋_GB2312" w:cs="Calibri"/>
          <w:szCs w:val="21"/>
          <w:highlight w:val="white"/>
        </w:rPr>
        <w:t>保修期自验收书签署之日起计算。</w:t>
      </w:r>
    </w:p>
    <w:p>
      <w:pPr>
        <w:tabs>
          <w:tab w:val="left" w:pos="360"/>
        </w:tabs>
        <w:spacing w:line="360" w:lineRule="auto"/>
        <w:ind w:firstLine="457" w:firstLineChars="218"/>
        <w:rPr>
          <w:rFonts w:ascii="仿宋_GB2312" w:hAnsi="宋体" w:eastAsia="仿宋_GB2312" w:cs="Calibri"/>
          <w:b/>
          <w:szCs w:val="21"/>
        </w:rPr>
      </w:pPr>
      <w:r>
        <w:rPr>
          <w:rFonts w:hint="eastAsia" w:ascii="仿宋_GB2312" w:hAnsi="宋体" w:eastAsia="仿宋_GB2312" w:cs="Calibri"/>
          <w:b/>
          <w:szCs w:val="21"/>
          <w:highlight w:val="white"/>
        </w:rPr>
        <w:t>9.违约责任</w:t>
      </w:r>
    </w:p>
    <w:p>
      <w:pPr>
        <w:spacing w:line="360" w:lineRule="auto"/>
        <w:ind w:firstLine="457" w:firstLineChars="218"/>
        <w:rPr>
          <w:rFonts w:ascii="仿宋_GB2312" w:hAnsi="宋体" w:eastAsia="仿宋_GB2312" w:cs="Arial"/>
          <w:szCs w:val="21"/>
        </w:rPr>
      </w:pPr>
      <w:r>
        <w:rPr>
          <w:rFonts w:hint="eastAsia" w:ascii="仿宋_GB2312" w:hAnsi="宋体" w:eastAsia="仿宋_GB2312" w:cs="Arial"/>
          <w:szCs w:val="21"/>
          <w:highlight w:val="white"/>
        </w:rPr>
        <w:t>9.1如果供方未按照政府采购合同规定的要求提供服务；或供方未能履行政府采购合同规定的任何其它义务时，需方有权向供方发出违约通知书，供方应按照需方选择的下列一种或多种方式承担赔偿责任：</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9.1.1在需方同意延长的期限内提供服务并承担由此给需方造成的一切损失；</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9.1.2在需方规定的时间内，用符合政府采购合同规定的服务以达到政府采购合同规定的要求，供方应承担由此发生的一切费用和风险。此时，相关服务的期限也应相应延长；</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9.1.3需方有权部分或全部解除政府采购合同并要求供方赔偿由此造成的损失。此时需方可采取必要的补救措施，相关费用由供方承担。</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9.2如果供方在收到需方的违约通知书后10日内未作答复也没有按照需方选择的方式承担违约责任，则需方有权从履约保证金（如有）、尚未支付的政府采购合同价款中扣回索赔金额。如果这些金额不足以补偿，需方有权向供方提出不足部分的赔偿要求。</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9.3延期服务的违约责任</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9.3.1除本合同条款第9条规定外，如果供方没有按照政府采购合同规定的时间提供服务，需方可要求供方支付违约金。违约金按照每周未提供服务费用的0.5%计收，但违约金的最高限额为未提供服务的合同价格的5%。一周按7天计算，不足7天按一周计算。如果达到最高限额，需方有权解除政府采购合同。</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9.4以上各项交付的违约金并不影响违约方履行政府采购合同的各项义务。</w:t>
      </w:r>
    </w:p>
    <w:p>
      <w:pPr>
        <w:spacing w:line="360" w:lineRule="auto"/>
        <w:ind w:left="420"/>
        <w:rPr>
          <w:rFonts w:ascii="仿宋_GB2312" w:hAnsi="宋体" w:eastAsia="仿宋_GB2312" w:cs="Arial"/>
          <w:b/>
          <w:szCs w:val="21"/>
        </w:rPr>
      </w:pPr>
      <w:r>
        <w:rPr>
          <w:rFonts w:hint="eastAsia" w:ascii="仿宋_GB2312" w:hAnsi="宋体" w:eastAsia="仿宋_GB2312" w:cs="Arial"/>
          <w:b/>
          <w:szCs w:val="21"/>
          <w:highlight w:val="white"/>
        </w:rPr>
        <w:t>10.不可抗力</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10.1如果供方和需方因不可抗力而导致政府采购合同迟延履行或不能履行政府采购合同义务，不应该承担误期赔偿或不能履行政府采购合同义务的责任。因供方或需方先延误或不能履行政府采购合同而后遇不可抗力的情形除外。</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10.2本条所述的“不可抗力”系指那些双方无法控制，不可预见的事件，但不包括双方的违约或疏忽。这些事件包括但不限于：战争、严重火灾、洪水、台风、地震。</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10.3在不可抗力事件发生后，当事方应尽快以书面形式将不可抗力的情况和原因通知对方。双方应尽实际可能继续履行政府采购合同义务，并积极寻求采取合理的方案履行不受不可抗力影响的其它事项。双方应通过友好协商在合理的时间内达成进一步履行合同的协议。</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highlight w:val="white"/>
        </w:rPr>
        <w:t>11.争端的解决</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11.1需方和供方应通过友好协商，解决在执行本政府采购合同过程中所发生的或与本政府采购合同有关的一切争端。</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11.2如果协商不成，双方中的任何一方可向需方所在地的人民法院提起诉讼。</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11.3因政府采购合同部分履行引发诉讼的，在诉讼期间，除正在进行诉讼的部分外，本政府采购合同的其它部分应继续执行。</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highlight w:val="white"/>
        </w:rPr>
        <w:t>12.违约终止政府采购合同</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12.1在需方因供方违约而按政府采购合同约定采取的任何补救措施不起作用的情况下，需方可在下列情况下向供方发出书面通知，提出终止部分或全部政府采购合同。</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12.1.1如果供方未能在政府采购合同规定的限期或需方同意延长的限期内提供部分或全部服务；</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12.1.2如果供方未能履行政府采购合同规定的其它任何义务。</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12.1.3未经需方事先书面同意，供方部分转让和分包或全部转让和分包其应履行的政府采购合同义务。</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12.2 如果需方根据上述规定，终止了全部或部分政府采购合同，需方可以依其认为适当的条件和方法购买与未履行服务类似的服务，供方应对购买类似服务所超出的那部分费用负责。供方应继续履行政府采购合同中未终止的部分。</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highlight w:val="white"/>
        </w:rPr>
        <w:t>13.政府采购法对政府采购合同变更终止的规定</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szCs w:val="21"/>
          <w:highlight w:val="white"/>
        </w:rPr>
        <w:t>政府采购合同的双方当事人(指供需双方)不得擅自变更、中止或者终止政府采购合同。政府采购合同继续履行将损害国家利益和社会公共利益的，双方当事人应当变更、中止或者终止政府采购合同。有过错的一方应当承担赔偿责任，双方都有过错的，各自承担相应的责任。</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highlight w:val="white"/>
        </w:rPr>
        <w:t>14.政府采购合同转让和分包</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除招标文件规定,并经需方事先书面同意外，供方不得部分转让和分包或全部转让和分包其应履行的政府采购合同义务。</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b/>
          <w:szCs w:val="21"/>
          <w:highlight w:val="white"/>
        </w:rPr>
        <w:t>15.适用法律：</w:t>
      </w:r>
      <w:r>
        <w:rPr>
          <w:rFonts w:hint="eastAsia" w:ascii="仿宋_GB2312" w:hAnsi="宋体" w:eastAsia="仿宋_GB2312" w:cs="Arial"/>
          <w:szCs w:val="21"/>
          <w:highlight w:val="white"/>
        </w:rPr>
        <w:t>本政府采购合同按照中华人民共和国的现行法律进行解释。</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highlight w:val="white"/>
        </w:rPr>
        <w:t>16.政府采购合同生效</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16.1本政府采购合同在供需双方法定代表人或其授权代理人签字和加盖公章后生效。</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16.2本政府采购合同一式五份，需方执二份，供方、</w:t>
      </w:r>
      <w:r>
        <w:rPr>
          <w:rFonts w:hint="eastAsia" w:ascii="仿宋_GB2312" w:hAnsi="宋体" w:eastAsia="仿宋_GB2312" w:cs="Lucida Sans Unicode"/>
          <w:szCs w:val="21"/>
          <w:highlight w:val="white"/>
        </w:rPr>
        <w:t>采购代理机构</w:t>
      </w:r>
      <w:r>
        <w:rPr>
          <w:rFonts w:hint="eastAsia" w:ascii="仿宋_GB2312" w:hAnsi="宋体" w:eastAsia="仿宋_GB2312" w:cs="Arial"/>
          <w:szCs w:val="21"/>
          <w:highlight w:val="white"/>
        </w:rPr>
        <w:t xml:space="preserve">、财政部门各执一份。 </w:t>
      </w:r>
    </w:p>
    <w:p>
      <w:pPr>
        <w:spacing w:line="360" w:lineRule="auto"/>
        <w:ind w:firstLine="411" w:firstLineChars="196"/>
        <w:rPr>
          <w:rFonts w:ascii="仿宋_GB2312" w:hAnsi="宋体" w:eastAsia="仿宋_GB2312" w:cs="Arial"/>
          <w:b/>
          <w:szCs w:val="21"/>
        </w:rPr>
      </w:pPr>
      <w:r>
        <w:rPr>
          <w:rFonts w:hint="eastAsia" w:ascii="仿宋_GB2312" w:hAnsi="宋体" w:eastAsia="仿宋_GB2312" w:cs="Arial"/>
          <w:b/>
          <w:szCs w:val="21"/>
          <w:highlight w:val="white"/>
        </w:rPr>
        <w:t>17.政府采购合同附件</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下列文件构成本政府采购合同不可分割的组成部分，与本政府采购合同具有同等法律效力：</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17.1</w:t>
      </w:r>
      <w:r>
        <w:rPr>
          <w:rFonts w:hint="eastAsia" w:ascii="仿宋_GB2312" w:hAnsi="宋体" w:eastAsia="仿宋_GB2312" w:cs="Calibri"/>
          <w:szCs w:val="21"/>
          <w:highlight w:val="white"/>
        </w:rPr>
        <w:t>招标文件；</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17.2招标文件的更正公告、变更公告；</w:t>
      </w:r>
    </w:p>
    <w:p>
      <w:pPr>
        <w:spacing w:line="360" w:lineRule="auto"/>
        <w:ind w:firstLine="420" w:firstLineChars="200"/>
        <w:rPr>
          <w:rFonts w:ascii="仿宋_GB2312" w:hAnsi="宋体" w:eastAsia="仿宋_GB2312" w:cs="Arial"/>
          <w:szCs w:val="21"/>
        </w:rPr>
      </w:pPr>
      <w:r>
        <w:rPr>
          <w:rFonts w:hint="eastAsia" w:ascii="仿宋_GB2312" w:hAnsi="宋体" w:eastAsia="仿宋_GB2312" w:cs="Arial"/>
          <w:szCs w:val="21"/>
          <w:highlight w:val="white"/>
        </w:rPr>
        <w:t xml:space="preserve">17.3中标供应商提交的投标文件；        </w:t>
      </w:r>
    </w:p>
    <w:p>
      <w:pPr>
        <w:spacing w:line="360" w:lineRule="auto"/>
        <w:ind w:firstLine="420" w:firstLineChars="200"/>
        <w:rPr>
          <w:rFonts w:ascii="仿宋_GB2312" w:hAnsi="宋体" w:eastAsia="仿宋_GB2312" w:cs="Calibri"/>
          <w:szCs w:val="21"/>
        </w:rPr>
      </w:pPr>
      <w:r>
        <w:rPr>
          <w:rFonts w:hint="eastAsia" w:ascii="仿宋_GB2312" w:hAnsi="宋体" w:eastAsia="仿宋_GB2312" w:cs="Arial"/>
          <w:szCs w:val="21"/>
          <w:highlight w:val="white"/>
        </w:rPr>
        <w:t>17.4</w:t>
      </w:r>
      <w:r>
        <w:rPr>
          <w:rFonts w:hint="eastAsia" w:ascii="仿宋_GB2312" w:hAnsi="宋体" w:eastAsia="仿宋_GB2312" w:cs="Calibri"/>
          <w:szCs w:val="21"/>
          <w:highlight w:val="white"/>
        </w:rPr>
        <w:t>政府采购合同条款；</w:t>
      </w:r>
    </w:p>
    <w:p>
      <w:pPr>
        <w:spacing w:line="360" w:lineRule="auto"/>
        <w:ind w:firstLine="411" w:firstLineChars="196"/>
        <w:rPr>
          <w:rFonts w:ascii="仿宋_GB2312" w:hAnsi="宋体" w:eastAsia="仿宋_GB2312" w:cs="Arial"/>
          <w:szCs w:val="21"/>
        </w:rPr>
      </w:pPr>
      <w:r>
        <w:rPr>
          <w:rFonts w:hint="eastAsia" w:ascii="仿宋_GB2312" w:hAnsi="宋体" w:eastAsia="仿宋_GB2312" w:cs="Arial"/>
          <w:szCs w:val="21"/>
          <w:highlight w:val="white"/>
        </w:rPr>
        <w:t>17.5中标通知书；</w:t>
      </w:r>
    </w:p>
    <w:p>
      <w:pPr>
        <w:spacing w:line="360" w:lineRule="auto"/>
        <w:ind w:firstLine="420" w:firstLineChars="200"/>
        <w:rPr>
          <w:rFonts w:ascii="仿宋_GB2312" w:hAnsi="宋体" w:eastAsia="仿宋_GB2312" w:cs="Calibri"/>
          <w:szCs w:val="21"/>
        </w:rPr>
      </w:pPr>
      <w:r>
        <w:rPr>
          <w:rFonts w:hint="eastAsia" w:ascii="仿宋_GB2312" w:hAnsi="宋体" w:eastAsia="仿宋_GB2312" w:cs="Arial"/>
          <w:szCs w:val="21"/>
          <w:highlight w:val="white"/>
        </w:rPr>
        <w:t>17.6政府采购合同的其它附件。</w:t>
      </w:r>
    </w:p>
    <w:p>
      <w:pPr>
        <w:ind w:firstLine="411" w:firstLineChars="196"/>
        <w:rPr>
          <w:rFonts w:ascii="仿宋_GB2312" w:hAnsi="宋体" w:eastAsia="仿宋_GB2312" w:cs="Arial"/>
          <w:b/>
          <w:szCs w:val="21"/>
        </w:rPr>
      </w:pPr>
      <w:r>
        <w:rPr>
          <w:rFonts w:hint="eastAsia" w:ascii="仿宋_GB2312" w:hAnsi="宋体" w:eastAsia="仿宋_GB2312" w:cs="Arial"/>
          <w:b/>
          <w:szCs w:val="21"/>
          <w:highlight w:val="white"/>
        </w:rPr>
        <w:t>18.“政府采购合同条款”如与“政府采购合同格式”不一致，以“政府采购合同格式”为准。</w:t>
      </w:r>
    </w:p>
    <w:p>
      <w:pPr>
        <w:ind w:firstLine="470" w:firstLineChars="196"/>
        <w:rPr>
          <w:rFonts w:ascii="仿宋_GB2312" w:hAnsi="宋体" w:eastAsia="仿宋_GB2312" w:cs="Calibri"/>
          <w:sz w:val="24"/>
          <w:szCs w:val="24"/>
        </w:rPr>
      </w:pPr>
    </w:p>
    <w:p>
      <w:pPr>
        <w:keepNext/>
        <w:keepLines/>
        <w:adjustRightInd w:val="0"/>
        <w:snapToGrid w:val="0"/>
        <w:spacing w:before="140" w:after="140"/>
        <w:outlineLvl w:val="1"/>
        <w:rPr>
          <w:rFonts w:ascii="仿宋_GB2312" w:hAnsi="宋体" w:eastAsia="仿宋_GB2312" w:cs="Calibri"/>
          <w:b/>
          <w:szCs w:val="21"/>
        </w:rPr>
      </w:pPr>
      <w:r>
        <w:rPr>
          <w:rFonts w:hint="eastAsia" w:ascii="仿宋_GB2312" w:hAnsi="仿宋_GB2312" w:eastAsia="仿宋_GB2312" w:cs="仿宋_GB2312"/>
          <w:b/>
          <w:sz w:val="28"/>
          <w:szCs w:val="28"/>
          <w:highlight w:val="white"/>
        </w:rPr>
        <w:t>合同格式</w:t>
      </w:r>
    </w:p>
    <w:p>
      <w:pPr>
        <w:spacing w:before="319" w:beforeLines="100" w:after="319" w:afterLines="100" w:line="360" w:lineRule="auto"/>
        <w:jc w:val="center"/>
        <w:rPr>
          <w:rFonts w:ascii="宋体" w:eastAsia="仿宋" w:cs="Calibri"/>
          <w:b/>
          <w:sz w:val="36"/>
          <w:szCs w:val="36"/>
        </w:rPr>
      </w:pPr>
      <w:r>
        <w:rPr>
          <w:rFonts w:hint="eastAsia" w:ascii="宋体" w:hAnsi="宋体" w:eastAsia="仿宋" w:cs="Calibri"/>
          <w:b/>
          <w:sz w:val="36"/>
          <w:szCs w:val="36"/>
          <w:highlight w:val="white"/>
        </w:rPr>
        <w:t>政府采购合同格式</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政府采购合同编号：</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签订地点：</w:t>
      </w:r>
    </w:p>
    <w:p>
      <w:pPr>
        <w:spacing w:line="360" w:lineRule="auto"/>
        <w:ind w:firstLine="640"/>
        <w:rPr>
          <w:rFonts w:ascii="仿宋_GB2312" w:hAnsi="宋体" w:eastAsia="仿宋_GB2312" w:cs="Calibri"/>
          <w:szCs w:val="21"/>
        </w:rPr>
      </w:pPr>
      <w:r>
        <w:rPr>
          <w:rFonts w:hint="eastAsia" w:ascii="仿宋_GB2312" w:hAnsi="宋体" w:eastAsia="仿宋_GB2312" w:cs="Calibri"/>
          <w:szCs w:val="21"/>
          <w:highlight w:val="white"/>
          <w:u w:val="single"/>
        </w:rPr>
        <w:t xml:space="preserve">    (需方名称</w:t>
      </w:r>
      <w:r>
        <w:rPr>
          <w:rFonts w:hint="eastAsia" w:ascii="仿宋_GB2312" w:hAnsi="宋体" w:eastAsia="仿宋_GB2312" w:cs="Calibri"/>
          <w:szCs w:val="21"/>
          <w:highlight w:val="white"/>
        </w:rPr>
        <w:t>)</w:t>
      </w:r>
      <w:r>
        <w:rPr>
          <w:rFonts w:hint="eastAsia" w:ascii="仿宋_GB2312" w:hAnsi="宋体" w:eastAsia="仿宋_GB2312" w:cs="Calibri"/>
          <w:szCs w:val="21"/>
          <w:highlight w:val="white"/>
          <w:u w:val="single"/>
        </w:rPr>
        <w:t xml:space="preserve">            </w:t>
      </w:r>
      <w:r>
        <w:rPr>
          <w:rFonts w:hint="eastAsia" w:ascii="仿宋_GB2312" w:hAnsi="宋体" w:eastAsia="仿宋_GB2312" w:cs="Calibri"/>
          <w:szCs w:val="21"/>
          <w:highlight w:val="white"/>
        </w:rPr>
        <w:t xml:space="preserve"> （以下简称需方）和</w:t>
      </w:r>
      <w:r>
        <w:rPr>
          <w:rFonts w:hint="eastAsia" w:ascii="仿宋_GB2312" w:hAnsi="宋体" w:eastAsia="仿宋_GB2312" w:cs="Calibri"/>
          <w:szCs w:val="21"/>
          <w:highlight w:val="white"/>
          <w:u w:val="single"/>
        </w:rPr>
        <w:t xml:space="preserve">   (供方名称)    </w:t>
      </w:r>
      <w:r>
        <w:rPr>
          <w:rFonts w:hint="eastAsia" w:ascii="仿宋_GB2312" w:hAnsi="宋体" w:eastAsia="仿宋_GB2312" w:cs="Calibri"/>
          <w:szCs w:val="21"/>
          <w:highlight w:val="white"/>
        </w:rPr>
        <w:t xml:space="preserve"> （以下简称供方）根据《中华人民共和国民法典》和有关法律法规，遵循平等、自愿、公平和诚实信用原则，同意按照下面的条款和条件订立本政府采购合同，共同信守。</w:t>
      </w:r>
    </w:p>
    <w:p>
      <w:pPr>
        <w:spacing w:line="360" w:lineRule="auto"/>
        <w:rPr>
          <w:rFonts w:ascii="黑体" w:hAnsi="宋体" w:eastAsia="黑体" w:cs="Calibri"/>
          <w:b/>
          <w:szCs w:val="21"/>
        </w:rPr>
      </w:pPr>
      <w:r>
        <w:rPr>
          <w:rFonts w:hint="eastAsia" w:ascii="黑体" w:hAnsi="宋体" w:eastAsia="黑体" w:cs="Calibri"/>
          <w:b/>
          <w:szCs w:val="21"/>
          <w:highlight w:val="white"/>
        </w:rPr>
        <w:t>　　一、政府采购合同文件</w:t>
      </w:r>
    </w:p>
    <w:p>
      <w:pPr>
        <w:spacing w:line="360" w:lineRule="auto"/>
        <w:rPr>
          <w:rFonts w:ascii="仿宋_GB2312" w:hAnsi="宋体" w:eastAsia="仿宋_GB2312" w:cs="Calibri"/>
          <w:szCs w:val="21"/>
        </w:rPr>
      </w:pPr>
      <w:r>
        <w:rPr>
          <w:rFonts w:hint="eastAsia" w:ascii="仿宋_GB2312" w:hAnsi="宋体" w:eastAsia="仿宋_GB2312" w:cs="Calibri"/>
          <w:szCs w:val="21"/>
          <w:highlight w:val="white"/>
        </w:rPr>
        <w:t xml:space="preserve">    本政府采购合同所附下列文件是构成本政府采购合同不可分割的部分：</w:t>
      </w:r>
    </w:p>
    <w:p>
      <w:pPr>
        <w:spacing w:line="360" w:lineRule="auto"/>
        <w:ind w:firstLine="420" w:firstLineChars="200"/>
        <w:rPr>
          <w:rFonts w:ascii="仿宋_GB2312" w:hAnsi="宋体" w:eastAsia="仿宋_GB2312" w:cs="Calibri"/>
          <w:szCs w:val="21"/>
        </w:rPr>
      </w:pPr>
      <w:r>
        <w:rPr>
          <w:rFonts w:hint="eastAsia" w:ascii="黑体" w:hAnsi="宋体" w:eastAsia="黑体" w:cs="Calibri"/>
          <w:szCs w:val="21"/>
          <w:highlight w:val="white"/>
        </w:rPr>
        <w:t>1.</w:t>
      </w:r>
      <w:r>
        <w:rPr>
          <w:rFonts w:hint="eastAsia" w:ascii="仿宋_GB2312" w:hAnsi="宋体" w:eastAsia="仿宋_GB2312" w:cs="Calibri"/>
          <w:szCs w:val="21"/>
          <w:highlight w:val="white"/>
        </w:rPr>
        <w:t>招标文件（招标文件编号</w:t>
      </w:r>
      <w:r>
        <w:rPr>
          <w:rFonts w:hint="eastAsia" w:ascii="仿宋_GB2312" w:hAnsi="宋体" w:eastAsia="仿宋_GB2312" w:cs="Calibri"/>
          <w:szCs w:val="21"/>
          <w:highlight w:val="white"/>
          <w:u w:val="single"/>
        </w:rPr>
        <w:t xml:space="preserve">           </w:t>
      </w:r>
      <w:r>
        <w:rPr>
          <w:rFonts w:hint="eastAsia" w:ascii="仿宋_GB2312" w:hAnsi="宋体" w:eastAsia="仿宋_GB2312" w:cs="Calibri"/>
          <w:szCs w:val="21"/>
          <w:highlight w:val="white"/>
        </w:rPr>
        <w:t>）；</w:t>
      </w:r>
    </w:p>
    <w:p>
      <w:pPr>
        <w:spacing w:line="360" w:lineRule="auto"/>
        <w:ind w:firstLine="420" w:firstLineChars="200"/>
        <w:rPr>
          <w:rFonts w:ascii="仿宋_GB2312" w:hAnsi="宋体" w:eastAsia="仿宋_GB2312" w:cs="Arial"/>
          <w:szCs w:val="21"/>
        </w:rPr>
      </w:pPr>
      <w:r>
        <w:rPr>
          <w:rFonts w:hint="eastAsia" w:ascii="黑体" w:hAnsi="宋体" w:eastAsia="黑体" w:cs="Calibri"/>
          <w:szCs w:val="21"/>
          <w:highlight w:val="white"/>
        </w:rPr>
        <w:t>2.</w:t>
      </w:r>
      <w:r>
        <w:rPr>
          <w:rFonts w:hint="eastAsia" w:ascii="仿宋_GB2312" w:hAnsi="宋体" w:eastAsia="仿宋_GB2312" w:cs="Arial"/>
          <w:szCs w:val="21"/>
          <w:highlight w:val="white"/>
        </w:rPr>
        <w:t>招标文件的更正公告、变更公告；</w:t>
      </w:r>
    </w:p>
    <w:p>
      <w:pPr>
        <w:spacing w:line="360" w:lineRule="auto"/>
        <w:ind w:firstLine="420" w:firstLineChars="200"/>
        <w:rPr>
          <w:rFonts w:ascii="仿宋_GB2312" w:hAnsi="宋体" w:eastAsia="仿宋_GB2312" w:cs="Calibri"/>
          <w:szCs w:val="21"/>
        </w:rPr>
      </w:pPr>
      <w:r>
        <w:rPr>
          <w:rFonts w:hint="eastAsia" w:ascii="黑体" w:hAnsi="宋体" w:eastAsia="黑体" w:cs="Calibri"/>
          <w:szCs w:val="21"/>
          <w:highlight w:val="white"/>
        </w:rPr>
        <w:t>3.</w:t>
      </w:r>
      <w:r>
        <w:rPr>
          <w:rFonts w:hint="eastAsia" w:ascii="仿宋_GB2312" w:hAnsi="宋体" w:eastAsia="仿宋_GB2312" w:cs="Calibri"/>
          <w:szCs w:val="21"/>
          <w:highlight w:val="white"/>
        </w:rPr>
        <w:t>中标供应商提交的投标文件；</w:t>
      </w:r>
    </w:p>
    <w:p>
      <w:pPr>
        <w:spacing w:line="360" w:lineRule="auto"/>
        <w:ind w:firstLine="420" w:firstLineChars="200"/>
        <w:rPr>
          <w:rFonts w:ascii="仿宋_GB2312" w:hAnsi="宋体" w:eastAsia="仿宋_GB2312" w:cs="Calibri"/>
          <w:szCs w:val="21"/>
        </w:rPr>
      </w:pPr>
      <w:r>
        <w:rPr>
          <w:rFonts w:hint="eastAsia" w:ascii="黑体" w:hAnsi="宋体" w:eastAsia="黑体" w:cs="Calibri"/>
          <w:szCs w:val="21"/>
          <w:highlight w:val="white"/>
        </w:rPr>
        <w:t>4.</w:t>
      </w:r>
      <w:r>
        <w:rPr>
          <w:rFonts w:hint="eastAsia" w:ascii="仿宋_GB2312" w:hAnsi="宋体" w:eastAsia="仿宋_GB2312" w:cs="Calibri"/>
          <w:szCs w:val="21"/>
          <w:highlight w:val="white"/>
        </w:rPr>
        <w:t>政府采购合同条款；</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5</w:t>
      </w:r>
      <w:r>
        <w:rPr>
          <w:rFonts w:hint="eastAsia" w:ascii="黑体" w:hAnsi="宋体" w:eastAsia="黑体" w:cs="Calibri"/>
          <w:szCs w:val="21"/>
          <w:highlight w:val="white"/>
        </w:rPr>
        <w:t>.</w:t>
      </w:r>
      <w:r>
        <w:rPr>
          <w:rFonts w:hint="eastAsia" w:ascii="仿宋_GB2312" w:hAnsi="宋体" w:eastAsia="仿宋_GB2312" w:cs="Calibri"/>
          <w:szCs w:val="21"/>
          <w:highlight w:val="white"/>
        </w:rPr>
        <w:t>中标通知书；</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6</w:t>
      </w:r>
      <w:r>
        <w:rPr>
          <w:rFonts w:hint="eastAsia" w:ascii="黑体" w:hAnsi="宋体" w:eastAsia="黑体" w:cs="Calibri"/>
          <w:szCs w:val="21"/>
          <w:highlight w:val="white"/>
        </w:rPr>
        <w:t>.</w:t>
      </w:r>
      <w:r>
        <w:rPr>
          <w:rFonts w:hint="eastAsia" w:ascii="仿宋_GB2312" w:hAnsi="宋体" w:eastAsia="仿宋_GB2312" w:cs="Arial"/>
          <w:szCs w:val="21"/>
          <w:highlight w:val="white"/>
        </w:rPr>
        <w:t>政府采购合同的其它附件。</w:t>
      </w:r>
    </w:p>
    <w:p>
      <w:pPr>
        <w:spacing w:line="360" w:lineRule="auto"/>
        <w:rPr>
          <w:rFonts w:ascii="黑体" w:hAnsi="宋体" w:eastAsia="黑体" w:cs="Calibri"/>
          <w:b/>
          <w:szCs w:val="21"/>
        </w:rPr>
      </w:pPr>
      <w:r>
        <w:rPr>
          <w:rFonts w:hint="eastAsia" w:ascii="黑体" w:hAnsi="宋体" w:eastAsia="黑体" w:cs="Calibri"/>
          <w:b/>
          <w:szCs w:val="21"/>
          <w:highlight w:val="white"/>
        </w:rPr>
        <w:t>　　二、政府采购合同范围和条件</w:t>
      </w:r>
    </w:p>
    <w:p>
      <w:pPr>
        <w:spacing w:line="360" w:lineRule="auto"/>
        <w:rPr>
          <w:rFonts w:ascii="仿宋_GB2312" w:hAnsi="宋体" w:eastAsia="仿宋_GB2312" w:cs="Calibri"/>
          <w:szCs w:val="21"/>
        </w:rPr>
      </w:pPr>
      <w:r>
        <w:rPr>
          <w:rFonts w:hint="eastAsia" w:ascii="仿宋_GB2312" w:hAnsi="宋体" w:eastAsia="仿宋_GB2312" w:cs="Calibri"/>
          <w:szCs w:val="21"/>
          <w:highlight w:val="white"/>
        </w:rPr>
        <w:t xml:space="preserve">    本政府采购合同的范围和条件与上述政府采购合同文件的规定相一致。</w:t>
      </w:r>
    </w:p>
    <w:p>
      <w:pPr>
        <w:spacing w:line="360" w:lineRule="auto"/>
        <w:rPr>
          <w:rFonts w:ascii="黑体" w:hAnsi="宋体" w:eastAsia="黑体" w:cs="Calibri"/>
          <w:b/>
          <w:szCs w:val="21"/>
        </w:rPr>
      </w:pPr>
      <w:r>
        <w:rPr>
          <w:rFonts w:hint="eastAsia" w:ascii="黑体" w:hAnsi="宋体" w:eastAsia="黑体" w:cs="Calibri"/>
          <w:b/>
          <w:szCs w:val="21"/>
          <w:highlight w:val="white"/>
        </w:rPr>
        <w:t>　　三、政府采购合同标的</w:t>
      </w:r>
    </w:p>
    <w:p>
      <w:pPr>
        <w:spacing w:line="360" w:lineRule="auto"/>
        <w:rPr>
          <w:rFonts w:ascii="仿宋_GB2312" w:hAnsi="宋体" w:eastAsia="仿宋_GB2312" w:cs="Calibri"/>
          <w:szCs w:val="21"/>
        </w:rPr>
      </w:pPr>
      <w:r>
        <w:rPr>
          <w:rFonts w:hint="eastAsia" w:ascii="仿宋_GB2312" w:hAnsi="宋体" w:eastAsia="仿宋_GB2312" w:cs="Calibri"/>
          <w:szCs w:val="21"/>
          <w:highlight w:val="white"/>
        </w:rPr>
        <w:t xml:space="preserve">    </w:t>
      </w:r>
      <w:r>
        <w:rPr>
          <w:rFonts w:hint="eastAsia" w:ascii="仿宋_GB2312" w:hAnsi="仿宋_GB2312" w:eastAsia="仿宋_GB2312" w:cs="仿宋_GB2312"/>
          <w:szCs w:val="21"/>
          <w:highlight w:val="white"/>
        </w:rPr>
        <w:t>本政府采购合同的标的为招标文件中所列相关服务。</w:t>
      </w:r>
      <w:r>
        <w:rPr>
          <w:rFonts w:hint="eastAsia" w:ascii="仿宋_GB2312" w:hAnsi="宋体" w:eastAsia="仿宋_GB2312" w:cs="Calibri"/>
          <w:szCs w:val="21"/>
          <w:highlight w:val="white"/>
        </w:rPr>
        <w:t>。</w:t>
      </w:r>
    </w:p>
    <w:p>
      <w:pPr>
        <w:spacing w:line="360" w:lineRule="auto"/>
        <w:rPr>
          <w:rFonts w:ascii="黑体" w:hAnsi="宋体" w:eastAsia="黑体" w:cs="Calibri"/>
          <w:b/>
          <w:szCs w:val="21"/>
        </w:rPr>
      </w:pPr>
      <w:r>
        <w:rPr>
          <w:rFonts w:hint="eastAsia" w:ascii="黑体" w:hAnsi="宋体" w:eastAsia="黑体" w:cs="Calibri"/>
          <w:b/>
          <w:szCs w:val="21"/>
          <w:highlight w:val="white"/>
        </w:rPr>
        <w:t>　　四、政府采购合同金额</w:t>
      </w:r>
    </w:p>
    <w:p>
      <w:pPr>
        <w:spacing w:line="360" w:lineRule="auto"/>
        <w:rPr>
          <w:rFonts w:ascii="仿宋_GB2312" w:hAnsi="宋体" w:eastAsia="仿宋_GB2312" w:cs="Calibri"/>
          <w:szCs w:val="21"/>
        </w:rPr>
      </w:pPr>
      <w:r>
        <w:rPr>
          <w:rFonts w:hint="eastAsia" w:ascii="仿宋_GB2312" w:hAnsi="宋体" w:eastAsia="仿宋_GB2312" w:cs="Calibri"/>
          <w:szCs w:val="21"/>
          <w:highlight w:val="white"/>
        </w:rPr>
        <w:t xml:space="preserve">    根据上述政府采购合同文件要求，政府采购合同的总金额为人民币</w:t>
      </w:r>
      <w:r>
        <w:rPr>
          <w:rFonts w:hint="eastAsia" w:ascii="仿宋_GB2312" w:hAnsi="宋体" w:eastAsia="仿宋_GB2312" w:cs="Calibri"/>
          <w:szCs w:val="21"/>
          <w:highlight w:val="white"/>
          <w:u w:val="single"/>
        </w:rPr>
        <w:t xml:space="preserve">  （大写）                </w:t>
      </w:r>
      <w:r>
        <w:rPr>
          <w:rFonts w:hint="eastAsia" w:ascii="仿宋_GB2312" w:hAnsi="宋体" w:eastAsia="仿宋_GB2312" w:cs="Calibri"/>
          <w:szCs w:val="21"/>
          <w:highlight w:val="white"/>
        </w:rPr>
        <w:t xml:space="preserve"> 元。</w:t>
      </w:r>
    </w:p>
    <w:p>
      <w:pPr>
        <w:spacing w:line="360" w:lineRule="auto"/>
        <w:rPr>
          <w:rFonts w:ascii="黑体" w:hAnsi="宋体" w:eastAsia="黑体" w:cs="Calibri"/>
          <w:b/>
          <w:szCs w:val="21"/>
        </w:rPr>
      </w:pPr>
      <w:r>
        <w:rPr>
          <w:rFonts w:hint="eastAsia" w:ascii="黑体" w:hAnsi="宋体" w:eastAsia="黑体" w:cs="Calibri"/>
          <w:b/>
          <w:szCs w:val="21"/>
          <w:highlight w:val="white"/>
        </w:rPr>
        <w:t>　  五、付款方式及条件</w:t>
      </w:r>
    </w:p>
    <w:p>
      <w:pPr>
        <w:spacing w:line="360" w:lineRule="auto"/>
        <w:rPr>
          <w:rFonts w:hint="eastAsia" w:ascii="黑体" w:hAnsi="宋体" w:eastAsia="黑体" w:cs="Calibri"/>
          <w:b/>
          <w:szCs w:val="21"/>
        </w:rPr>
      </w:pPr>
    </w:p>
    <w:p>
      <w:pPr>
        <w:spacing w:line="360" w:lineRule="auto"/>
        <w:rPr>
          <w:rFonts w:ascii="仿宋_GB2312" w:hAnsi="宋体" w:eastAsia="仿宋_GB2312" w:cs="Calibri"/>
          <w:szCs w:val="21"/>
        </w:rPr>
      </w:pPr>
      <w:r>
        <w:rPr>
          <w:rFonts w:hint="eastAsia" w:ascii="黑体" w:hAnsi="宋体" w:eastAsia="黑体" w:cs="Calibri"/>
          <w:b/>
          <w:szCs w:val="21"/>
          <w:highlight w:val="white"/>
        </w:rPr>
        <w:t>　　六、服务时间和服务地点</w:t>
      </w:r>
      <w:r>
        <w:rPr>
          <w:rFonts w:hint="eastAsia" w:ascii="仿宋_GB2312" w:hAnsi="宋体" w:eastAsia="仿宋_GB2312" w:cs="Calibri"/>
          <w:szCs w:val="21"/>
          <w:highlight w:val="white"/>
        </w:rPr>
        <w:t xml:space="preserve">   </w:t>
      </w:r>
    </w:p>
    <w:p>
      <w:pPr>
        <w:spacing w:line="360" w:lineRule="auto"/>
        <w:rPr>
          <w:rFonts w:ascii="仿宋_GB2312" w:hAnsi="宋体" w:eastAsia="仿宋_GB2312" w:cs="Calibri"/>
          <w:szCs w:val="21"/>
          <w:u w:val="single"/>
        </w:rPr>
      </w:pPr>
      <w:r>
        <w:rPr>
          <w:rFonts w:hint="eastAsia" w:ascii="仿宋_GB2312" w:hAnsi="宋体" w:eastAsia="仿宋_GB2312" w:cs="Calibri"/>
          <w:szCs w:val="21"/>
          <w:highlight w:val="white"/>
        </w:rPr>
        <w:t xml:space="preserve">    1.服务时间：</w:t>
      </w:r>
      <w:r>
        <w:rPr>
          <w:rFonts w:hint="eastAsia" w:ascii="仿宋_GB2312" w:hAnsi="宋体" w:eastAsia="仿宋_GB2312" w:cs="Calibri"/>
          <w:szCs w:val="21"/>
          <w:highlight w:val="white"/>
          <w:u w:val="single"/>
        </w:rPr>
        <w:t xml:space="preserve">        </w:t>
      </w:r>
    </w:p>
    <w:p>
      <w:pPr>
        <w:spacing w:line="360" w:lineRule="auto"/>
        <w:rPr>
          <w:rFonts w:ascii="仿宋_GB2312" w:hAnsi="宋体" w:eastAsia="仿宋_GB2312" w:cs="Calibri"/>
          <w:szCs w:val="21"/>
          <w:u w:val="single"/>
        </w:rPr>
      </w:pPr>
      <w:r>
        <w:rPr>
          <w:rFonts w:hint="eastAsia" w:ascii="仿宋_GB2312" w:hAnsi="宋体" w:eastAsia="仿宋_GB2312" w:cs="Calibri"/>
          <w:szCs w:val="21"/>
          <w:highlight w:val="white"/>
        </w:rPr>
        <w:t xml:space="preserve">    2.服务地点：</w:t>
      </w:r>
      <w:r>
        <w:rPr>
          <w:rFonts w:hint="eastAsia" w:ascii="仿宋_GB2312" w:hAnsi="宋体" w:eastAsia="仿宋_GB2312" w:cs="Calibri"/>
          <w:szCs w:val="21"/>
          <w:highlight w:val="white"/>
          <w:u w:val="single"/>
        </w:rPr>
        <w:t xml:space="preserve">        </w:t>
      </w:r>
    </w:p>
    <w:p>
      <w:pPr>
        <w:spacing w:line="360" w:lineRule="auto"/>
        <w:rPr>
          <w:rFonts w:ascii="黑体" w:hAnsi="宋体" w:eastAsia="黑体" w:cs="Calibri"/>
          <w:b/>
          <w:szCs w:val="21"/>
        </w:rPr>
      </w:pPr>
      <w:r>
        <w:rPr>
          <w:rFonts w:hint="eastAsia" w:ascii="黑体" w:hAnsi="宋体" w:eastAsia="黑体" w:cs="Calibri"/>
          <w:b/>
          <w:szCs w:val="21"/>
          <w:highlight w:val="white"/>
        </w:rPr>
        <w:t>　　七、验收要求</w:t>
      </w:r>
    </w:p>
    <w:p>
      <w:pPr>
        <w:spacing w:line="360" w:lineRule="auto"/>
        <w:rPr>
          <w:rFonts w:ascii="仿宋_GB2312" w:hAnsi="宋体" w:eastAsia="仿宋_GB2312" w:cs="Calibri"/>
          <w:szCs w:val="21"/>
          <w:u w:val="single"/>
        </w:rPr>
      </w:pPr>
      <w:r>
        <w:rPr>
          <w:rFonts w:hint="eastAsia" w:ascii="黑体" w:hAnsi="宋体" w:eastAsia="黑体" w:cs="Calibri"/>
          <w:b/>
          <w:szCs w:val="21"/>
          <w:highlight w:val="white"/>
        </w:rPr>
        <w:t xml:space="preserve">    </w:t>
      </w:r>
      <w:r>
        <w:rPr>
          <w:rFonts w:hint="eastAsia" w:ascii="仿宋_GB2312" w:hAnsi="宋体" w:eastAsia="仿宋_GB2312" w:cs="Calibri"/>
          <w:szCs w:val="21"/>
          <w:highlight w:val="white"/>
        </w:rPr>
        <w:t>供方完全履行合同义务后，需方或需方的最终用户按照上述政府采购合同文件列明的标准进行验收，验收不合格的，供方需按照第八条的约定承担相应违约责任。</w:t>
      </w:r>
    </w:p>
    <w:p>
      <w:pPr>
        <w:spacing w:line="360" w:lineRule="auto"/>
        <w:rPr>
          <w:rFonts w:ascii="黑体" w:hAnsi="宋体" w:eastAsia="黑体" w:cs="Calibri"/>
          <w:b/>
          <w:szCs w:val="21"/>
        </w:rPr>
      </w:pPr>
      <w:r>
        <w:rPr>
          <w:rFonts w:hint="eastAsia" w:ascii="黑体" w:hAnsi="宋体" w:eastAsia="黑体" w:cs="Calibri"/>
          <w:b/>
          <w:szCs w:val="21"/>
          <w:highlight w:val="white"/>
        </w:rPr>
        <w:t xml:space="preserve">    八、违约责任</w:t>
      </w:r>
    </w:p>
    <w:p>
      <w:pPr>
        <w:spacing w:line="360" w:lineRule="auto"/>
        <w:rPr>
          <w:rFonts w:ascii="仿宋_GB2312" w:hAnsi="宋体" w:eastAsia="仿宋_GB2312" w:cs="Calibri"/>
          <w:szCs w:val="21"/>
        </w:rPr>
      </w:pPr>
      <w:r>
        <w:rPr>
          <w:rFonts w:hint="eastAsia" w:ascii="仿宋_GB2312" w:hAnsi="宋体" w:eastAsia="仿宋_GB2312" w:cs="Calibri"/>
          <w:szCs w:val="21"/>
          <w:highlight w:val="white"/>
        </w:rPr>
        <w:t xml:space="preserve">    1.供方逾期提供服务的，每逾期一天向需方支付合同金额</w:t>
      </w:r>
      <w:bookmarkStart w:id="116" w:name="EBe9a10af8e334482d88c885888be6c2e5"/>
      <w:r>
        <w:rPr>
          <w:rFonts w:hint="eastAsia" w:ascii="仿宋_GB2312" w:hAnsi="宋体" w:eastAsia="仿宋_GB2312" w:cs="Calibri"/>
          <w:color w:val="0000FF"/>
          <w:szCs w:val="21"/>
          <w:highlight w:val="white"/>
        </w:rPr>
        <w:t>0.05</w:t>
      </w:r>
      <w:bookmarkEnd w:id="116"/>
      <w:r>
        <w:rPr>
          <w:rFonts w:hint="eastAsia" w:ascii="仿宋_GB2312" w:hAnsi="宋体" w:eastAsia="仿宋_GB2312" w:cs="Calibri"/>
          <w:szCs w:val="21"/>
          <w:highlight w:val="white"/>
        </w:rPr>
        <w:t>%的违约金，逾期</w:t>
      </w:r>
      <w:bookmarkStart w:id="117" w:name="EB9d2b5524d6994ba7b8da1e71a40d0156"/>
      <w:r>
        <w:rPr>
          <w:rFonts w:hint="eastAsia" w:ascii="仿宋_GB2312" w:hAnsi="宋体" w:eastAsia="仿宋_GB2312" w:cs="Calibri"/>
          <w:color w:val="0000FF"/>
          <w:szCs w:val="21"/>
          <w:highlight w:val="white"/>
        </w:rPr>
        <w:t>30</w:t>
      </w:r>
      <w:bookmarkEnd w:id="117"/>
      <w:r>
        <w:rPr>
          <w:rFonts w:hint="eastAsia" w:ascii="仿宋_GB2312" w:hAnsi="宋体" w:eastAsia="仿宋_GB2312" w:cs="Calibri"/>
          <w:szCs w:val="21"/>
          <w:highlight w:val="white"/>
        </w:rPr>
        <w:t>日的，需方有权单方面解除本协议。</w:t>
      </w:r>
    </w:p>
    <w:p>
      <w:pPr>
        <w:spacing w:line="360" w:lineRule="auto"/>
        <w:rPr>
          <w:rFonts w:ascii="仿宋_GB2312" w:hAnsi="宋体" w:eastAsia="仿宋_GB2312" w:cs="Calibri"/>
          <w:szCs w:val="21"/>
        </w:rPr>
      </w:pPr>
      <w:r>
        <w:rPr>
          <w:rFonts w:hint="eastAsia" w:ascii="仿宋_GB2312" w:hAnsi="宋体" w:eastAsia="仿宋_GB2312" w:cs="Calibri"/>
          <w:szCs w:val="21"/>
          <w:highlight w:val="white"/>
        </w:rPr>
        <w:t xml:space="preserve">    2.供方提供的服务不符合约定的，需方有权向供方书面提出整改意见，供方需无条件整改至符合约定，自需方向供方提出书面意见之日起</w:t>
      </w:r>
      <w:bookmarkStart w:id="118" w:name="EB10c59b06ef1e4b0bac8c537597540117"/>
      <w:r>
        <w:rPr>
          <w:rFonts w:hint="eastAsia" w:ascii="仿宋_GB2312" w:hAnsi="宋体" w:eastAsia="仿宋_GB2312" w:cs="Calibri"/>
          <w:color w:val="0000FF"/>
          <w:szCs w:val="21"/>
          <w:highlight w:val="white"/>
        </w:rPr>
        <w:t>10</w:t>
      </w:r>
      <w:bookmarkEnd w:id="118"/>
      <w:r>
        <w:rPr>
          <w:rFonts w:hint="eastAsia" w:ascii="仿宋_GB2312" w:hAnsi="宋体" w:eastAsia="仿宋_GB2312" w:cs="Calibri"/>
          <w:szCs w:val="21"/>
          <w:highlight w:val="white"/>
        </w:rPr>
        <w:t>日内，供方仍未整改或整改后服务仍不符合约定的，需方有权单方面解除本协议。</w:t>
      </w:r>
    </w:p>
    <w:p>
      <w:pPr>
        <w:spacing w:line="360" w:lineRule="auto"/>
        <w:rPr>
          <w:rFonts w:ascii="仿宋_GB2312" w:hAnsi="宋体" w:eastAsia="仿宋_GB2312" w:cs="Calibri"/>
          <w:szCs w:val="21"/>
        </w:rPr>
      </w:pPr>
      <w:r>
        <w:rPr>
          <w:rFonts w:hint="eastAsia" w:ascii="仿宋_GB2312" w:hAnsi="宋体" w:eastAsia="仿宋_GB2312" w:cs="Calibri"/>
          <w:szCs w:val="21"/>
          <w:highlight w:val="white"/>
        </w:rPr>
        <w:t xml:space="preserve">    3.需方逾期付款的，每逾期一天向供方支付逾期金额</w:t>
      </w:r>
      <w:bookmarkStart w:id="119" w:name="EBe234bbd73da545e4bc60c40f0560e274"/>
      <w:r>
        <w:rPr>
          <w:rFonts w:hint="eastAsia" w:ascii="仿宋_GB2312" w:hAnsi="宋体" w:eastAsia="仿宋_GB2312" w:cs="Calibri"/>
          <w:color w:val="0000FF"/>
          <w:szCs w:val="21"/>
          <w:highlight w:val="white"/>
        </w:rPr>
        <w:t>0.05</w:t>
      </w:r>
      <w:bookmarkEnd w:id="119"/>
      <w:r>
        <w:rPr>
          <w:rFonts w:hint="eastAsia" w:ascii="仿宋_GB2312" w:hAnsi="宋体" w:eastAsia="仿宋_GB2312" w:cs="Calibri"/>
          <w:szCs w:val="21"/>
          <w:highlight w:val="white"/>
        </w:rPr>
        <w:t>%的违约金，逾期</w:t>
      </w:r>
      <w:bookmarkStart w:id="120" w:name="EB06d5bd8108b44c2a88f9f3f970616eb3"/>
      <w:r>
        <w:rPr>
          <w:rFonts w:hint="eastAsia" w:ascii="仿宋_GB2312" w:hAnsi="宋体" w:eastAsia="仿宋_GB2312" w:cs="Calibri"/>
          <w:color w:val="0000FF"/>
          <w:szCs w:val="21"/>
          <w:highlight w:val="white"/>
        </w:rPr>
        <w:t>30</w:t>
      </w:r>
      <w:bookmarkEnd w:id="120"/>
      <w:r>
        <w:rPr>
          <w:rFonts w:hint="eastAsia" w:ascii="仿宋_GB2312" w:hAnsi="宋体" w:eastAsia="仿宋_GB2312" w:cs="Calibri"/>
          <w:szCs w:val="21"/>
          <w:highlight w:val="white"/>
        </w:rPr>
        <w:t>日的，供方有权单方面解除本协议。</w:t>
      </w:r>
    </w:p>
    <w:p>
      <w:pPr>
        <w:spacing w:line="360" w:lineRule="auto"/>
        <w:rPr>
          <w:rFonts w:ascii="黑体" w:hAnsi="宋体" w:eastAsia="黑体" w:cs="Calibri"/>
          <w:b/>
          <w:szCs w:val="21"/>
        </w:rPr>
      </w:pPr>
      <w:r>
        <w:rPr>
          <w:rFonts w:hint="eastAsia" w:ascii="黑体" w:hAnsi="宋体" w:eastAsia="黑体" w:cs="Calibri"/>
          <w:b/>
          <w:szCs w:val="21"/>
          <w:highlight w:val="white"/>
        </w:rPr>
        <w:t xml:space="preserve">    九、争议解决</w:t>
      </w:r>
    </w:p>
    <w:p>
      <w:pPr>
        <w:spacing w:line="360" w:lineRule="auto"/>
        <w:rPr>
          <w:rFonts w:ascii="仿宋_GB2312" w:hAnsi="宋体" w:eastAsia="仿宋_GB2312" w:cs="Calibri"/>
          <w:szCs w:val="21"/>
        </w:rPr>
      </w:pPr>
      <w:r>
        <w:rPr>
          <w:rFonts w:hint="eastAsia" w:ascii="仿宋_GB2312" w:hAnsi="宋体" w:eastAsia="仿宋_GB2312" w:cs="Calibri"/>
          <w:szCs w:val="21"/>
          <w:highlight w:val="white"/>
        </w:rPr>
        <w:t xml:space="preserve">    双方因履行本协议而产生的争议，应友好协商解决，协商不成的，任何一方可向需方所在地的人民法院提起诉讼。</w:t>
      </w:r>
    </w:p>
    <w:p>
      <w:pPr>
        <w:spacing w:line="360" w:lineRule="auto"/>
        <w:rPr>
          <w:rFonts w:ascii="黑体" w:hAnsi="宋体" w:eastAsia="黑体" w:cs="Calibri"/>
          <w:b/>
          <w:szCs w:val="21"/>
        </w:rPr>
      </w:pPr>
      <w:r>
        <w:rPr>
          <w:rFonts w:hint="eastAsia" w:ascii="黑体" w:hAnsi="宋体" w:eastAsia="黑体" w:cs="Calibri"/>
          <w:b/>
          <w:szCs w:val="21"/>
          <w:highlight w:val="white"/>
        </w:rPr>
        <w:t xml:space="preserve">    十、合同生效</w:t>
      </w:r>
    </w:p>
    <w:p>
      <w:pPr>
        <w:spacing w:line="360" w:lineRule="auto"/>
        <w:rPr>
          <w:rFonts w:ascii="仿宋_GB2312" w:hAnsi="宋体" w:eastAsia="仿宋_GB2312" w:cs="Calibri"/>
          <w:szCs w:val="21"/>
        </w:rPr>
      </w:pPr>
      <w:r>
        <w:rPr>
          <w:rFonts w:hint="eastAsia" w:ascii="仿宋_GB2312" w:hAnsi="宋体" w:eastAsia="仿宋_GB2312" w:cs="Calibri"/>
          <w:szCs w:val="21"/>
          <w:highlight w:val="white"/>
        </w:rPr>
        <w:t xml:space="preserve">    本政府采购合同经双方授权代表签字盖章后生效。</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需方（公章）:                       供方(公章):</w:t>
      </w:r>
    </w:p>
    <w:p>
      <w:pPr>
        <w:spacing w:line="360" w:lineRule="auto"/>
        <w:ind w:firstLine="420" w:firstLineChars="200"/>
        <w:rPr>
          <w:rFonts w:ascii="仿宋_GB2312" w:hAnsi="宋体" w:eastAsia="仿宋_GB2312" w:cs="Calibri"/>
          <w:szCs w:val="21"/>
        </w:rPr>
      </w:pPr>
      <w:r>
        <w:rPr>
          <w:rFonts w:hint="eastAsia" w:ascii="仿宋_GB2312" w:hAnsi="宋体" w:eastAsia="仿宋_GB2312" w:cs="Calibri"/>
          <w:szCs w:val="21"/>
          <w:highlight w:val="white"/>
        </w:rPr>
        <w:t>法定代表人或授权代表人(签字):         法定代表人或授权代表人(签字):</w:t>
      </w:r>
    </w:p>
    <w:p>
      <w:pPr>
        <w:spacing w:line="360" w:lineRule="auto"/>
        <w:ind w:firstLine="420" w:firstLineChars="200"/>
        <w:rPr>
          <w:rFonts w:ascii="仿宋_GB2312" w:hAnsi="Lucida Sans Unicode" w:eastAsia="仿宋_GB2312" w:cs="Lucida Sans Unicode"/>
          <w:szCs w:val="21"/>
          <w:u w:val="single"/>
        </w:rPr>
      </w:pPr>
      <w:r>
        <w:rPr>
          <w:rFonts w:hint="eastAsia" w:ascii="仿宋_GB2312" w:hAnsi="Lucida Sans Unicode" w:eastAsia="仿宋_GB2312" w:cs="Lucida Sans Unicode"/>
          <w:szCs w:val="21"/>
          <w:highlight w:val="white"/>
        </w:rPr>
        <w:t>地址：</w:t>
      </w:r>
      <w:r>
        <w:rPr>
          <w:rFonts w:hint="eastAsia" w:ascii="仿宋_GB2312" w:hAnsi="Lucida Sans Unicode" w:eastAsia="仿宋_GB2312" w:cs="Lucida Sans Unicode"/>
          <w:szCs w:val="21"/>
          <w:highlight w:val="white"/>
          <w:u w:val="single"/>
        </w:rPr>
        <w:t xml:space="preserve">                        </w:t>
      </w:r>
      <w:r>
        <w:rPr>
          <w:rFonts w:hint="eastAsia" w:ascii="仿宋_GB2312" w:hAnsi="Lucida Sans Unicode" w:eastAsia="仿宋_GB2312" w:cs="Lucida Sans Unicode"/>
          <w:szCs w:val="21"/>
          <w:highlight w:val="white"/>
        </w:rPr>
        <w:t xml:space="preserve">      地址：</w:t>
      </w:r>
      <w:r>
        <w:rPr>
          <w:rFonts w:hint="eastAsia" w:ascii="仿宋_GB2312" w:hAnsi="Lucida Sans Unicode" w:eastAsia="仿宋_GB2312" w:cs="Lucida Sans Unicode"/>
          <w:szCs w:val="21"/>
          <w:highlight w:val="white"/>
          <w:u w:val="single"/>
        </w:rPr>
        <w:t xml:space="preserve">                          </w:t>
      </w:r>
    </w:p>
    <w:p>
      <w:pPr>
        <w:spacing w:line="360" w:lineRule="auto"/>
        <w:ind w:firstLine="420" w:firstLineChars="200"/>
        <w:rPr>
          <w:rFonts w:ascii="仿宋_GB2312" w:hAnsi="Lucida Sans Unicode" w:eastAsia="仿宋_GB2312" w:cs="Lucida Sans Unicode"/>
          <w:szCs w:val="21"/>
        </w:rPr>
      </w:pPr>
      <w:r>
        <w:rPr>
          <w:rFonts w:hint="eastAsia" w:ascii="仿宋_GB2312" w:hAnsi="Lucida Sans Unicode" w:eastAsia="仿宋_GB2312" w:cs="Lucida Sans Unicode"/>
          <w:szCs w:val="21"/>
          <w:highlight w:val="white"/>
        </w:rPr>
        <w:t>联系人：</w:t>
      </w:r>
      <w:r>
        <w:rPr>
          <w:rFonts w:hint="eastAsia" w:ascii="仿宋_GB2312" w:hAnsi="Lucida Sans Unicode" w:eastAsia="仿宋_GB2312" w:cs="Lucida Sans Unicode"/>
          <w:szCs w:val="21"/>
          <w:highlight w:val="white"/>
          <w:u w:val="single"/>
        </w:rPr>
        <w:t xml:space="preserve">                      </w:t>
      </w:r>
      <w:r>
        <w:rPr>
          <w:rFonts w:hint="eastAsia" w:ascii="仿宋_GB2312" w:hAnsi="Lucida Sans Unicode" w:eastAsia="仿宋_GB2312" w:cs="Lucida Sans Unicode"/>
          <w:szCs w:val="21"/>
          <w:highlight w:val="white"/>
        </w:rPr>
        <w:t xml:space="preserve">      联系人：</w:t>
      </w:r>
      <w:r>
        <w:rPr>
          <w:rFonts w:hint="eastAsia" w:ascii="仿宋_GB2312" w:hAnsi="Lucida Sans Unicode" w:eastAsia="仿宋_GB2312" w:cs="Lucida Sans Unicode"/>
          <w:szCs w:val="21"/>
          <w:highlight w:val="white"/>
          <w:u w:val="single"/>
        </w:rPr>
        <w:t xml:space="preserve">                        </w:t>
      </w:r>
    </w:p>
    <w:p>
      <w:pPr>
        <w:spacing w:line="360" w:lineRule="auto"/>
        <w:ind w:firstLine="420" w:firstLineChars="200"/>
        <w:rPr>
          <w:rFonts w:ascii="仿宋_GB2312" w:hAnsi="Lucida Sans Unicode" w:eastAsia="仿宋_GB2312" w:cs="Lucida Sans Unicode"/>
          <w:szCs w:val="21"/>
          <w:u w:val="single"/>
        </w:rPr>
      </w:pPr>
      <w:r>
        <w:rPr>
          <w:rFonts w:hint="eastAsia" w:ascii="仿宋_GB2312" w:hAnsi="Lucida Sans Unicode" w:eastAsia="仿宋_GB2312" w:cs="Lucida Sans Unicode"/>
          <w:szCs w:val="21"/>
          <w:highlight w:val="white"/>
        </w:rPr>
        <w:t>电话：</w:t>
      </w:r>
      <w:r>
        <w:rPr>
          <w:rFonts w:hint="eastAsia" w:ascii="仿宋_GB2312" w:hAnsi="Lucida Sans Unicode" w:eastAsia="仿宋_GB2312" w:cs="Lucida Sans Unicode"/>
          <w:szCs w:val="21"/>
          <w:highlight w:val="white"/>
          <w:u w:val="single"/>
        </w:rPr>
        <w:t xml:space="preserve">                        </w:t>
      </w:r>
      <w:r>
        <w:rPr>
          <w:rFonts w:hint="eastAsia" w:ascii="仿宋_GB2312" w:hAnsi="Lucida Sans Unicode" w:eastAsia="仿宋_GB2312" w:cs="Lucida Sans Unicode"/>
          <w:szCs w:val="21"/>
          <w:highlight w:val="white"/>
        </w:rPr>
        <w:t xml:space="preserve">      电话：</w:t>
      </w:r>
      <w:r>
        <w:rPr>
          <w:rFonts w:hint="eastAsia" w:ascii="仿宋_GB2312" w:hAnsi="Lucida Sans Unicode" w:eastAsia="仿宋_GB2312" w:cs="Lucida Sans Unicode"/>
          <w:szCs w:val="21"/>
          <w:highlight w:val="white"/>
          <w:u w:val="single"/>
        </w:rPr>
        <w:t xml:space="preserve">                          </w:t>
      </w:r>
    </w:p>
    <w:p>
      <w:pPr>
        <w:spacing w:line="360" w:lineRule="auto"/>
        <w:ind w:firstLine="420" w:firstLineChars="200"/>
        <w:rPr>
          <w:rFonts w:ascii="仿宋_GB2312" w:hAnsi="Lucida Sans Unicode" w:eastAsia="仿宋_GB2312" w:cs="Lucida Sans Unicode"/>
          <w:szCs w:val="21"/>
          <w:u w:val="single"/>
        </w:rPr>
      </w:pPr>
      <w:r>
        <w:rPr>
          <w:rFonts w:hint="eastAsia" w:ascii="仿宋_GB2312" w:hAnsi="Lucida Sans Unicode" w:eastAsia="仿宋_GB2312" w:cs="Lucida Sans Unicode"/>
          <w:szCs w:val="21"/>
          <w:highlight w:val="white"/>
        </w:rPr>
        <w:t>传真：</w:t>
      </w:r>
      <w:r>
        <w:rPr>
          <w:rFonts w:hint="eastAsia" w:ascii="仿宋_GB2312" w:hAnsi="Lucida Sans Unicode" w:eastAsia="仿宋_GB2312" w:cs="Lucida Sans Unicode"/>
          <w:szCs w:val="21"/>
          <w:highlight w:val="white"/>
          <w:u w:val="single"/>
        </w:rPr>
        <w:t xml:space="preserve">                        </w:t>
      </w:r>
      <w:r>
        <w:rPr>
          <w:rFonts w:hint="eastAsia" w:ascii="仿宋_GB2312" w:hAnsi="Lucida Sans Unicode" w:eastAsia="仿宋_GB2312" w:cs="Lucida Sans Unicode"/>
          <w:szCs w:val="21"/>
          <w:highlight w:val="white"/>
        </w:rPr>
        <w:t xml:space="preserve">      传真：</w:t>
      </w:r>
      <w:r>
        <w:rPr>
          <w:rFonts w:hint="eastAsia" w:ascii="仿宋_GB2312" w:hAnsi="Lucida Sans Unicode" w:eastAsia="仿宋_GB2312" w:cs="Lucida Sans Unicode"/>
          <w:szCs w:val="21"/>
          <w:highlight w:val="white"/>
          <w:u w:val="single"/>
        </w:rPr>
        <w:t xml:space="preserve">                          </w:t>
      </w:r>
    </w:p>
    <w:p>
      <w:pPr>
        <w:spacing w:line="360" w:lineRule="auto"/>
        <w:ind w:firstLine="420" w:firstLineChars="200"/>
        <w:rPr>
          <w:rFonts w:ascii="仿宋_GB2312" w:hAnsi="Lucida Sans Unicode" w:eastAsia="仿宋_GB2312" w:cs="Lucida Sans Unicode"/>
          <w:szCs w:val="21"/>
          <w:u w:val="single"/>
        </w:rPr>
      </w:pPr>
      <w:r>
        <w:rPr>
          <w:rFonts w:hint="eastAsia" w:ascii="仿宋_GB2312" w:hAnsi="Lucida Sans Unicode" w:eastAsia="仿宋_GB2312" w:cs="Lucida Sans Unicode"/>
          <w:szCs w:val="21"/>
          <w:highlight w:val="white"/>
        </w:rPr>
        <w:t>邮编：</w:t>
      </w:r>
      <w:r>
        <w:rPr>
          <w:rFonts w:hint="eastAsia" w:ascii="仿宋_GB2312" w:hAnsi="Lucida Sans Unicode" w:eastAsia="仿宋_GB2312" w:cs="Lucida Sans Unicode"/>
          <w:szCs w:val="21"/>
          <w:highlight w:val="white"/>
          <w:u w:val="single"/>
        </w:rPr>
        <w:t xml:space="preserve">                        </w:t>
      </w:r>
      <w:r>
        <w:rPr>
          <w:rFonts w:hint="eastAsia" w:ascii="仿宋_GB2312" w:hAnsi="Lucida Sans Unicode" w:eastAsia="仿宋_GB2312" w:cs="Lucida Sans Unicode"/>
          <w:szCs w:val="21"/>
          <w:highlight w:val="white"/>
        </w:rPr>
        <w:t xml:space="preserve">      邮编：</w:t>
      </w:r>
      <w:r>
        <w:rPr>
          <w:rFonts w:hint="eastAsia" w:ascii="仿宋_GB2312" w:hAnsi="Lucida Sans Unicode" w:eastAsia="仿宋_GB2312" w:cs="Lucida Sans Unicode"/>
          <w:szCs w:val="21"/>
          <w:highlight w:val="white"/>
          <w:u w:val="single"/>
        </w:rPr>
        <w:t xml:space="preserve">                          </w:t>
      </w:r>
    </w:p>
    <w:p>
      <w:pPr>
        <w:ind w:firstLine="420" w:firstLineChars="200"/>
      </w:pPr>
      <w:r>
        <w:rPr>
          <w:rFonts w:hint="eastAsia" w:ascii="仿宋_GB2312" w:hAnsi="Lucida Sans Unicode" w:eastAsia="仿宋_GB2312" w:cs="Lucida Sans Unicode"/>
          <w:szCs w:val="21"/>
          <w:highlight w:val="white"/>
        </w:rPr>
        <w:t>日期：</w:t>
      </w:r>
      <w:r>
        <w:rPr>
          <w:rFonts w:hint="eastAsia" w:ascii="仿宋_GB2312" w:hAnsi="Lucida Sans Unicode" w:eastAsia="仿宋_GB2312" w:cs="Lucida Sans Unicode"/>
          <w:szCs w:val="21"/>
          <w:highlight w:val="white"/>
          <w:u w:val="single"/>
        </w:rPr>
        <w:t xml:space="preserve">      年      月      日</w:t>
      </w:r>
      <w:r>
        <w:rPr>
          <w:rFonts w:hint="eastAsia" w:ascii="仿宋_GB2312" w:hAnsi="Lucida Sans Unicode" w:eastAsia="仿宋_GB2312" w:cs="Lucida Sans Unicode"/>
          <w:szCs w:val="21"/>
          <w:highlight w:val="white"/>
        </w:rPr>
        <w:t xml:space="preserve">      日期：</w:t>
      </w:r>
      <w:r>
        <w:rPr>
          <w:rFonts w:hint="eastAsia" w:ascii="仿宋_GB2312" w:hAnsi="Lucida Sans Unicode" w:eastAsia="仿宋_GB2312" w:cs="Lucida Sans Unicode"/>
          <w:szCs w:val="21"/>
          <w:highlight w:val="white"/>
          <w:u w:val="single"/>
        </w:rPr>
        <w:t xml:space="preserve">       年      月     日</w:t>
      </w:r>
    </w:p>
    <w:p>
      <w:pPr>
        <w:rPr>
          <w:rFonts w:hint="eastAsia"/>
          <w:color w:val="000080"/>
          <w:sz w:val="20"/>
          <w:highlight w:val="cyan"/>
        </w:rPr>
      </w:pPr>
      <w:bookmarkStart w:id="121" w:name="EBbcb3ad7f11f84349975b494ae8d31b32"/>
      <w:bookmarkEnd w:id="121"/>
    </w:p>
    <w:p>
      <w:pPr>
        <w:rPr>
          <w:highlight w:val="magenta"/>
        </w:rPr>
      </w:pPr>
      <w:bookmarkStart w:id="122" w:name="EB2c3147599d2d4381a9db5776729c5fbf"/>
      <w:bookmarkEnd w:id="122"/>
    </w:p>
    <w:sectPr>
      <w:type w:val="continuous"/>
      <w:pgSz w:w="11906" w:h="16838"/>
      <w:pgMar w:top="1440" w:right="1803" w:bottom="1440" w:left="1803" w:header="851" w:footer="992" w:gutter="0"/>
      <w:cols w:space="720" w:num="1"/>
      <w:docGrid w:type="linesAndChar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Heiti SC Light">
    <w:altName w:val="宋体"/>
    <w:panose1 w:val="00000000000000000000"/>
    <w:charset w:val="86"/>
    <w:family w:val="auto"/>
    <w:pitch w:val="default"/>
    <w:sig w:usb0="00000000" w:usb1="00000000" w:usb2="00000000" w:usb3="00000000" w:csb0="203E0000" w:csb1="00000000"/>
  </w:font>
  <w:font w:name="Songti SC">
    <w:altName w:val="宋体"/>
    <w:panose1 w:val="00000000000000000000"/>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Lucida Sans Unicode">
    <w:panose1 w:val="020B0602030504020204"/>
    <w:charset w:val="00"/>
    <w:family w:val="swiss"/>
    <w:pitch w:val="default"/>
    <w:sig w:usb0="80001AFF" w:usb1="0000396B" w:usb2="00000000" w:usb3="00000000" w:csb0="200000BF" w:csb1="D7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r>
      <w:fldChar w:fldCharType="begin"/>
    </w:r>
    <w:r>
      <w:rPr>
        <w:highlight w:val="white"/>
      </w:rPr>
      <w:instrText xml:space="preserve">PAGE   \* MERGEFORMAT</w:instrText>
    </w:r>
    <w:r>
      <w:fldChar w:fldCharType="separate"/>
    </w:r>
    <w:r>
      <w:rPr>
        <w:highlight w:val="white"/>
        <w:lang w:val="zh-CN"/>
      </w:rPr>
      <w:t>215</w:t>
    </w:r>
    <w:r>
      <w:fldChar w:fldCharType="end"/>
    </w:r>
  </w:p>
  <w:p>
    <w:pPr>
      <w:pStyle w:val="1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A1E8D1"/>
    <w:multiLevelType w:val="singleLevel"/>
    <w:tmpl w:val="B9A1E8D1"/>
    <w:lvl w:ilvl="0" w:tentative="0">
      <w:start w:val="1"/>
      <w:numFmt w:val="decimal"/>
      <w:suff w:val="nothing"/>
      <w:lvlText w:val="（%1）"/>
      <w:lvlJc w:val="left"/>
    </w:lvl>
  </w:abstractNum>
  <w:abstractNum w:abstractNumId="1">
    <w:nsid w:val="08996E4F"/>
    <w:multiLevelType w:val="multilevel"/>
    <w:tmpl w:val="08996E4F"/>
    <w:lvl w:ilvl="0" w:tentative="0">
      <w:start w:val="1"/>
      <w:numFmt w:val="decimal"/>
      <w:lvlText w:val="%1."/>
      <w:lvlJc w:val="left"/>
      <w:pPr>
        <w:ind w:left="672" w:hanging="432"/>
      </w:pPr>
      <w:rPr>
        <w:rFonts w:hint="default"/>
      </w:rPr>
    </w:lvl>
    <w:lvl w:ilvl="1" w:tentative="0">
      <w:start w:val="1"/>
      <w:numFmt w:val="decimal"/>
      <w:lvlText w:val="%1.%2."/>
      <w:lvlJc w:val="left"/>
      <w:pPr>
        <w:ind w:left="575" w:hanging="575"/>
      </w:pPr>
      <w:rPr>
        <w:rFonts w:hint="default" w:ascii="宋体" w:hAnsi="宋体" w:eastAsia="宋体" w:cs="宋体"/>
      </w:rPr>
    </w:lvl>
    <w:lvl w:ilvl="2" w:tentative="0">
      <w:start w:val="1"/>
      <w:numFmt w:val="decimal"/>
      <w:pStyle w:val="4"/>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pStyle w:val="6"/>
      <w:lvlText w:val="%1.%2.%3.%4.%5."/>
      <w:lvlJc w:val="left"/>
      <w:pPr>
        <w:ind w:left="1008" w:hanging="1008"/>
      </w:pPr>
      <w:rPr>
        <w:rFonts w:hint="default"/>
      </w:rPr>
    </w:lvl>
    <w:lvl w:ilvl="5" w:tentative="0">
      <w:start w:val="1"/>
      <w:numFmt w:val="decimal"/>
      <w:pStyle w:val="7"/>
      <w:lvlText w:val="%1.%2.%3.%4.%5.%6."/>
      <w:lvlJc w:val="left"/>
      <w:pPr>
        <w:ind w:left="1151" w:hanging="1151"/>
      </w:pPr>
      <w:rPr>
        <w:rFonts w:hint="default"/>
      </w:rPr>
    </w:lvl>
    <w:lvl w:ilvl="6" w:tentative="0">
      <w:start w:val="1"/>
      <w:numFmt w:val="decimal"/>
      <w:pStyle w:val="8"/>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2">
    <w:nsid w:val="1957DC58"/>
    <w:multiLevelType w:val="singleLevel"/>
    <w:tmpl w:val="1957DC58"/>
    <w:lvl w:ilvl="0" w:tentative="0">
      <w:start w:val="1"/>
      <w:numFmt w:val="chineseCounting"/>
      <w:suff w:val="space"/>
      <w:lvlText w:val="第%1章"/>
      <w:lvlJc w:val="left"/>
      <w:rPr>
        <w:rFonts w:hint="eastAsia"/>
      </w:rPr>
    </w:lvl>
  </w:abstractNum>
  <w:abstractNum w:abstractNumId="3">
    <w:nsid w:val="27E8E525"/>
    <w:multiLevelType w:val="singleLevel"/>
    <w:tmpl w:val="27E8E525"/>
    <w:lvl w:ilvl="0" w:tentative="0">
      <w:start w:val="1"/>
      <w:numFmt w:val="decimal"/>
      <w:suff w:val="nothing"/>
      <w:lvlText w:val="（%1）"/>
      <w:lvlJc w:val="left"/>
    </w:lvl>
  </w:abstractNum>
  <w:abstractNum w:abstractNumId="4">
    <w:nsid w:val="37FB6503"/>
    <w:multiLevelType w:val="multilevel"/>
    <w:tmpl w:val="37FB6503"/>
    <w:lvl w:ilvl="0" w:tentative="0">
      <w:start w:val="1"/>
      <w:numFmt w:val="decimal"/>
      <w:lvlText w:val="%1."/>
      <w:lvlJc w:val="left"/>
      <w:pPr>
        <w:ind w:left="425" w:hanging="425"/>
      </w:pPr>
      <w:rPr>
        <w:rFonts w:hint="default"/>
      </w:rPr>
    </w:lvl>
    <w:lvl w:ilvl="1" w:tentative="0">
      <w:start w:val="1"/>
      <w:numFmt w:val="decimal"/>
      <w:pStyle w:val="42"/>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5">
    <w:nsid w:val="420C153B"/>
    <w:multiLevelType w:val="multilevel"/>
    <w:tmpl w:val="420C153B"/>
    <w:lvl w:ilvl="0" w:tentative="0">
      <w:start w:val="1"/>
      <w:numFmt w:val="decimal"/>
      <w:pStyle w:val="32"/>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6">
    <w:nsid w:val="52F7058B"/>
    <w:multiLevelType w:val="multilevel"/>
    <w:tmpl w:val="52F7058B"/>
    <w:lvl w:ilvl="0" w:tentative="0">
      <w:start w:val="1"/>
      <w:numFmt w:val="decimal"/>
      <w:lvlText w:val="%1."/>
      <w:lvlJc w:val="left"/>
      <w:pPr>
        <w:tabs>
          <w:tab w:val="left" w:pos="830"/>
        </w:tabs>
        <w:ind w:left="830" w:hanging="360"/>
      </w:pPr>
      <w:rPr>
        <w:rFonts w:hint="eastAsia" w:ascii="黑体" w:hAnsi="Times New Roman" w:eastAsia="黑体"/>
        <w:b/>
      </w:rPr>
    </w:lvl>
    <w:lvl w:ilvl="1" w:tentative="0">
      <w:start w:val="1"/>
      <w:numFmt w:val="lowerLetter"/>
      <w:lvlText w:val="%2)"/>
      <w:lvlJc w:val="left"/>
      <w:pPr>
        <w:tabs>
          <w:tab w:val="left" w:pos="1310"/>
        </w:tabs>
        <w:ind w:left="1310" w:hanging="420"/>
      </w:pPr>
    </w:lvl>
    <w:lvl w:ilvl="2" w:tentative="0">
      <w:start w:val="1"/>
      <w:numFmt w:val="lowerRoman"/>
      <w:lvlText w:val="%3."/>
      <w:lvlJc w:val="right"/>
      <w:pPr>
        <w:tabs>
          <w:tab w:val="left" w:pos="1730"/>
        </w:tabs>
        <w:ind w:left="1730" w:hanging="420"/>
      </w:pPr>
    </w:lvl>
    <w:lvl w:ilvl="3" w:tentative="0">
      <w:start w:val="1"/>
      <w:numFmt w:val="decimal"/>
      <w:lvlText w:val="%4."/>
      <w:lvlJc w:val="left"/>
      <w:pPr>
        <w:tabs>
          <w:tab w:val="left" w:pos="2150"/>
        </w:tabs>
        <w:ind w:left="2150" w:hanging="420"/>
      </w:pPr>
    </w:lvl>
    <w:lvl w:ilvl="4" w:tentative="0">
      <w:start w:val="1"/>
      <w:numFmt w:val="lowerLetter"/>
      <w:lvlText w:val="%5)"/>
      <w:lvlJc w:val="left"/>
      <w:pPr>
        <w:tabs>
          <w:tab w:val="left" w:pos="2570"/>
        </w:tabs>
        <w:ind w:left="2570" w:hanging="420"/>
      </w:pPr>
    </w:lvl>
    <w:lvl w:ilvl="5" w:tentative="0">
      <w:start w:val="1"/>
      <w:numFmt w:val="lowerRoman"/>
      <w:lvlText w:val="%6."/>
      <w:lvlJc w:val="right"/>
      <w:pPr>
        <w:tabs>
          <w:tab w:val="left" w:pos="2990"/>
        </w:tabs>
        <w:ind w:left="2990" w:hanging="420"/>
      </w:pPr>
    </w:lvl>
    <w:lvl w:ilvl="6" w:tentative="0">
      <w:start w:val="1"/>
      <w:numFmt w:val="decimal"/>
      <w:lvlText w:val="%7."/>
      <w:lvlJc w:val="left"/>
      <w:pPr>
        <w:tabs>
          <w:tab w:val="left" w:pos="3410"/>
        </w:tabs>
        <w:ind w:left="3410" w:hanging="420"/>
      </w:pPr>
    </w:lvl>
    <w:lvl w:ilvl="7" w:tentative="0">
      <w:start w:val="1"/>
      <w:numFmt w:val="lowerLetter"/>
      <w:lvlText w:val="%8)"/>
      <w:lvlJc w:val="left"/>
      <w:pPr>
        <w:tabs>
          <w:tab w:val="left" w:pos="3830"/>
        </w:tabs>
        <w:ind w:left="3830" w:hanging="420"/>
      </w:pPr>
    </w:lvl>
    <w:lvl w:ilvl="8" w:tentative="0">
      <w:start w:val="1"/>
      <w:numFmt w:val="lowerRoman"/>
      <w:lvlText w:val="%9."/>
      <w:lvlJc w:val="right"/>
      <w:pPr>
        <w:tabs>
          <w:tab w:val="left" w:pos="4250"/>
        </w:tabs>
        <w:ind w:left="4250" w:hanging="420"/>
      </w:pPr>
    </w:lvl>
  </w:abstractNum>
  <w:abstractNum w:abstractNumId="7">
    <w:nsid w:val="61AE6D96"/>
    <w:multiLevelType w:val="singleLevel"/>
    <w:tmpl w:val="61AE6D96"/>
    <w:lvl w:ilvl="0" w:tentative="0">
      <w:start w:val="6"/>
      <w:numFmt w:val="decimal"/>
      <w:suff w:val="nothing"/>
      <w:lvlText w:val="（%1）"/>
      <w:lvlJc w:val="left"/>
    </w:lvl>
  </w:abstractNum>
  <w:abstractNum w:abstractNumId="8">
    <w:nsid w:val="7B4156D0"/>
    <w:multiLevelType w:val="singleLevel"/>
    <w:tmpl w:val="7B4156D0"/>
    <w:lvl w:ilvl="0" w:tentative="0">
      <w:start w:val="1"/>
      <w:numFmt w:val="decimal"/>
      <w:suff w:val="nothing"/>
      <w:lvlText w:val="（%1）"/>
      <w:lvlJc w:val="left"/>
    </w:lvl>
  </w:abstractNum>
  <w:num w:numId="1">
    <w:abstractNumId w:val="1"/>
  </w:num>
  <w:num w:numId="2">
    <w:abstractNumId w:val="5"/>
  </w:num>
  <w:num w:numId="3">
    <w:abstractNumId w:val="4"/>
  </w:num>
  <w:num w:numId="4">
    <w:abstractNumId w:val="2"/>
    <w:lvlOverride w:ilvl="0">
      <w:startOverride w:val="1"/>
    </w:lvlOverride>
  </w:num>
  <w:num w:numId="5">
    <w:abstractNumId w:val="0"/>
  </w:num>
  <w:num w:numId="6">
    <w:abstractNumId w:val="7"/>
  </w:num>
  <w:num w:numId="7">
    <w:abstractNumId w:val="3"/>
  </w:num>
  <w:num w:numId="8">
    <w:abstractNumId w:val="8"/>
  </w:num>
  <w:num w:numId="9">
    <w:abstractNumId w:val="6"/>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9"/>
  <w:displayHorizontalDrawingGridEvery w:val="1"/>
  <w:displayVerticalDrawingGridEvery w:val="1"/>
  <w:noPunctuationKerning w:val="1"/>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AB3B2B"/>
    <w:rsid w:val="000112BA"/>
    <w:rsid w:val="00012A4B"/>
    <w:rsid w:val="0001465F"/>
    <w:rsid w:val="00020861"/>
    <w:rsid w:val="00025C96"/>
    <w:rsid w:val="0002627E"/>
    <w:rsid w:val="000268C8"/>
    <w:rsid w:val="00031089"/>
    <w:rsid w:val="00031AC7"/>
    <w:rsid w:val="000501F3"/>
    <w:rsid w:val="00063356"/>
    <w:rsid w:val="0006778B"/>
    <w:rsid w:val="0007057C"/>
    <w:rsid w:val="00070B04"/>
    <w:rsid w:val="00075C43"/>
    <w:rsid w:val="00081C93"/>
    <w:rsid w:val="00084E5A"/>
    <w:rsid w:val="00096173"/>
    <w:rsid w:val="00096E47"/>
    <w:rsid w:val="0009731D"/>
    <w:rsid w:val="000B06F0"/>
    <w:rsid w:val="000B13E4"/>
    <w:rsid w:val="000B1E45"/>
    <w:rsid w:val="000B4366"/>
    <w:rsid w:val="000B6E5E"/>
    <w:rsid w:val="000C0CF6"/>
    <w:rsid w:val="000C0E37"/>
    <w:rsid w:val="000C3DAA"/>
    <w:rsid w:val="000D1063"/>
    <w:rsid w:val="000D4ADF"/>
    <w:rsid w:val="000E1287"/>
    <w:rsid w:val="000E1F9A"/>
    <w:rsid w:val="000E3BCF"/>
    <w:rsid w:val="000E5B21"/>
    <w:rsid w:val="000E6314"/>
    <w:rsid w:val="000F3580"/>
    <w:rsid w:val="000F5EC2"/>
    <w:rsid w:val="000F6EAA"/>
    <w:rsid w:val="001015DF"/>
    <w:rsid w:val="00106331"/>
    <w:rsid w:val="00106DE0"/>
    <w:rsid w:val="00110B2A"/>
    <w:rsid w:val="00115D8A"/>
    <w:rsid w:val="0012130F"/>
    <w:rsid w:val="001214E7"/>
    <w:rsid w:val="0012355A"/>
    <w:rsid w:val="00124CB1"/>
    <w:rsid w:val="0013522F"/>
    <w:rsid w:val="001371DD"/>
    <w:rsid w:val="00142E40"/>
    <w:rsid w:val="00147008"/>
    <w:rsid w:val="001612AD"/>
    <w:rsid w:val="001706A3"/>
    <w:rsid w:val="00170858"/>
    <w:rsid w:val="00180B33"/>
    <w:rsid w:val="00180FE3"/>
    <w:rsid w:val="0018626B"/>
    <w:rsid w:val="00186430"/>
    <w:rsid w:val="001935A6"/>
    <w:rsid w:val="00193BD6"/>
    <w:rsid w:val="00194380"/>
    <w:rsid w:val="00194AF3"/>
    <w:rsid w:val="001966CB"/>
    <w:rsid w:val="001A0746"/>
    <w:rsid w:val="001A59F7"/>
    <w:rsid w:val="001A7028"/>
    <w:rsid w:val="001B7504"/>
    <w:rsid w:val="001C1C04"/>
    <w:rsid w:val="001C6D6D"/>
    <w:rsid w:val="001D014E"/>
    <w:rsid w:val="001D685F"/>
    <w:rsid w:val="001D74B3"/>
    <w:rsid w:val="001D7F25"/>
    <w:rsid w:val="001E25B2"/>
    <w:rsid w:val="001E311A"/>
    <w:rsid w:val="001E710F"/>
    <w:rsid w:val="001E72F5"/>
    <w:rsid w:val="001E7BE5"/>
    <w:rsid w:val="001F163A"/>
    <w:rsid w:val="001F33B0"/>
    <w:rsid w:val="001F628E"/>
    <w:rsid w:val="00200940"/>
    <w:rsid w:val="00207EDA"/>
    <w:rsid w:val="00210A2E"/>
    <w:rsid w:val="00213645"/>
    <w:rsid w:val="0021576E"/>
    <w:rsid w:val="002166BA"/>
    <w:rsid w:val="00217506"/>
    <w:rsid w:val="0022058A"/>
    <w:rsid w:val="002267F4"/>
    <w:rsid w:val="0023158F"/>
    <w:rsid w:val="00234505"/>
    <w:rsid w:val="0025299C"/>
    <w:rsid w:val="00254496"/>
    <w:rsid w:val="00255F76"/>
    <w:rsid w:val="002664FC"/>
    <w:rsid w:val="0026766D"/>
    <w:rsid w:val="002701CC"/>
    <w:rsid w:val="00271EA7"/>
    <w:rsid w:val="0027523D"/>
    <w:rsid w:val="002759FF"/>
    <w:rsid w:val="00276764"/>
    <w:rsid w:val="00282DFB"/>
    <w:rsid w:val="00295B59"/>
    <w:rsid w:val="002A1DB3"/>
    <w:rsid w:val="002C26C8"/>
    <w:rsid w:val="002E464C"/>
    <w:rsid w:val="002E7146"/>
    <w:rsid w:val="002F1EE1"/>
    <w:rsid w:val="002F5F0D"/>
    <w:rsid w:val="002F727D"/>
    <w:rsid w:val="002F7B11"/>
    <w:rsid w:val="0030047C"/>
    <w:rsid w:val="00300CBB"/>
    <w:rsid w:val="003030B0"/>
    <w:rsid w:val="00303244"/>
    <w:rsid w:val="003074CB"/>
    <w:rsid w:val="003128A4"/>
    <w:rsid w:val="00322001"/>
    <w:rsid w:val="00331217"/>
    <w:rsid w:val="00334518"/>
    <w:rsid w:val="00341F18"/>
    <w:rsid w:val="00346265"/>
    <w:rsid w:val="00356097"/>
    <w:rsid w:val="003574AB"/>
    <w:rsid w:val="00362F2A"/>
    <w:rsid w:val="00363498"/>
    <w:rsid w:val="00363831"/>
    <w:rsid w:val="003642A4"/>
    <w:rsid w:val="003678C9"/>
    <w:rsid w:val="003701C4"/>
    <w:rsid w:val="003751D7"/>
    <w:rsid w:val="00375F7E"/>
    <w:rsid w:val="003811DB"/>
    <w:rsid w:val="00382F03"/>
    <w:rsid w:val="003874B8"/>
    <w:rsid w:val="0038757F"/>
    <w:rsid w:val="0039123C"/>
    <w:rsid w:val="00392E20"/>
    <w:rsid w:val="003959E7"/>
    <w:rsid w:val="003A71CF"/>
    <w:rsid w:val="003C5490"/>
    <w:rsid w:val="003C5FC2"/>
    <w:rsid w:val="003C7813"/>
    <w:rsid w:val="003D1F27"/>
    <w:rsid w:val="003D7E37"/>
    <w:rsid w:val="003F072C"/>
    <w:rsid w:val="003F5979"/>
    <w:rsid w:val="003F73F3"/>
    <w:rsid w:val="004009FD"/>
    <w:rsid w:val="00401A7B"/>
    <w:rsid w:val="00403FF0"/>
    <w:rsid w:val="004058CE"/>
    <w:rsid w:val="00407C11"/>
    <w:rsid w:val="00417841"/>
    <w:rsid w:val="00422EA6"/>
    <w:rsid w:val="00432254"/>
    <w:rsid w:val="00440750"/>
    <w:rsid w:val="00445D50"/>
    <w:rsid w:val="00453668"/>
    <w:rsid w:val="00462999"/>
    <w:rsid w:val="0046469B"/>
    <w:rsid w:val="00464A73"/>
    <w:rsid w:val="00465F3E"/>
    <w:rsid w:val="00473123"/>
    <w:rsid w:val="0047528E"/>
    <w:rsid w:val="004753FB"/>
    <w:rsid w:val="004766F5"/>
    <w:rsid w:val="004809D5"/>
    <w:rsid w:val="0048141C"/>
    <w:rsid w:val="00481E48"/>
    <w:rsid w:val="00485949"/>
    <w:rsid w:val="004A1DBE"/>
    <w:rsid w:val="004A537A"/>
    <w:rsid w:val="004B15CA"/>
    <w:rsid w:val="004B2AF4"/>
    <w:rsid w:val="004C6D8A"/>
    <w:rsid w:val="004D5E79"/>
    <w:rsid w:val="004E3769"/>
    <w:rsid w:val="004E4811"/>
    <w:rsid w:val="004E48C3"/>
    <w:rsid w:val="004E5508"/>
    <w:rsid w:val="00500BCC"/>
    <w:rsid w:val="005039D6"/>
    <w:rsid w:val="005040DF"/>
    <w:rsid w:val="005063EE"/>
    <w:rsid w:val="005069D1"/>
    <w:rsid w:val="00512291"/>
    <w:rsid w:val="00525A19"/>
    <w:rsid w:val="005378A0"/>
    <w:rsid w:val="00542BA1"/>
    <w:rsid w:val="00543C32"/>
    <w:rsid w:val="00543F74"/>
    <w:rsid w:val="00556542"/>
    <w:rsid w:val="00562614"/>
    <w:rsid w:val="0056280C"/>
    <w:rsid w:val="00562815"/>
    <w:rsid w:val="0056589E"/>
    <w:rsid w:val="00567ADD"/>
    <w:rsid w:val="00571B97"/>
    <w:rsid w:val="005720F1"/>
    <w:rsid w:val="0057540F"/>
    <w:rsid w:val="00580B35"/>
    <w:rsid w:val="00582B2A"/>
    <w:rsid w:val="00592BFE"/>
    <w:rsid w:val="0059418E"/>
    <w:rsid w:val="005A112A"/>
    <w:rsid w:val="005B4F75"/>
    <w:rsid w:val="005C353A"/>
    <w:rsid w:val="005D51EC"/>
    <w:rsid w:val="005D5B73"/>
    <w:rsid w:val="005D6E3C"/>
    <w:rsid w:val="005E0535"/>
    <w:rsid w:val="005E3430"/>
    <w:rsid w:val="005E5A87"/>
    <w:rsid w:val="005F08D1"/>
    <w:rsid w:val="005F7166"/>
    <w:rsid w:val="00604AD5"/>
    <w:rsid w:val="00612650"/>
    <w:rsid w:val="00615B29"/>
    <w:rsid w:val="00617A67"/>
    <w:rsid w:val="00620B1E"/>
    <w:rsid w:val="00624C56"/>
    <w:rsid w:val="00630E90"/>
    <w:rsid w:val="00633697"/>
    <w:rsid w:val="006358C4"/>
    <w:rsid w:val="00640FCC"/>
    <w:rsid w:val="00643E33"/>
    <w:rsid w:val="00644752"/>
    <w:rsid w:val="00644DDF"/>
    <w:rsid w:val="00647AB6"/>
    <w:rsid w:val="00647C31"/>
    <w:rsid w:val="00650E82"/>
    <w:rsid w:val="00653D0A"/>
    <w:rsid w:val="006545FF"/>
    <w:rsid w:val="00664A63"/>
    <w:rsid w:val="00665B62"/>
    <w:rsid w:val="006667B8"/>
    <w:rsid w:val="00666DFD"/>
    <w:rsid w:val="00675EBF"/>
    <w:rsid w:val="00681AA3"/>
    <w:rsid w:val="006823ED"/>
    <w:rsid w:val="00684E56"/>
    <w:rsid w:val="00694FB3"/>
    <w:rsid w:val="006A054E"/>
    <w:rsid w:val="006A7515"/>
    <w:rsid w:val="006C44B1"/>
    <w:rsid w:val="006C59A6"/>
    <w:rsid w:val="006E3FA8"/>
    <w:rsid w:val="006E4228"/>
    <w:rsid w:val="006F56A8"/>
    <w:rsid w:val="00702A69"/>
    <w:rsid w:val="007108AF"/>
    <w:rsid w:val="00710A4C"/>
    <w:rsid w:val="00710DD0"/>
    <w:rsid w:val="00715AF0"/>
    <w:rsid w:val="00722DB4"/>
    <w:rsid w:val="007307D9"/>
    <w:rsid w:val="007358B6"/>
    <w:rsid w:val="00740B09"/>
    <w:rsid w:val="0074575E"/>
    <w:rsid w:val="007522CF"/>
    <w:rsid w:val="00772CBE"/>
    <w:rsid w:val="00777049"/>
    <w:rsid w:val="0077749F"/>
    <w:rsid w:val="00783A93"/>
    <w:rsid w:val="00786C98"/>
    <w:rsid w:val="007A2A67"/>
    <w:rsid w:val="007B2011"/>
    <w:rsid w:val="007C0802"/>
    <w:rsid w:val="007C439F"/>
    <w:rsid w:val="007C4F06"/>
    <w:rsid w:val="007C55F2"/>
    <w:rsid w:val="007D1608"/>
    <w:rsid w:val="007D2BE2"/>
    <w:rsid w:val="007D3EDC"/>
    <w:rsid w:val="007E6537"/>
    <w:rsid w:val="007F4685"/>
    <w:rsid w:val="00801401"/>
    <w:rsid w:val="00803BA9"/>
    <w:rsid w:val="008069FE"/>
    <w:rsid w:val="00807317"/>
    <w:rsid w:val="008105C0"/>
    <w:rsid w:val="00813ACB"/>
    <w:rsid w:val="00815EAB"/>
    <w:rsid w:val="00816BC1"/>
    <w:rsid w:val="008227F0"/>
    <w:rsid w:val="00832E97"/>
    <w:rsid w:val="008333B7"/>
    <w:rsid w:val="008348F9"/>
    <w:rsid w:val="00841DCE"/>
    <w:rsid w:val="008420E4"/>
    <w:rsid w:val="0086180A"/>
    <w:rsid w:val="0086323C"/>
    <w:rsid w:val="008726E2"/>
    <w:rsid w:val="008730D3"/>
    <w:rsid w:val="008769E8"/>
    <w:rsid w:val="0088506F"/>
    <w:rsid w:val="008876B2"/>
    <w:rsid w:val="00890789"/>
    <w:rsid w:val="00895A94"/>
    <w:rsid w:val="008A055B"/>
    <w:rsid w:val="008A4B74"/>
    <w:rsid w:val="008B209B"/>
    <w:rsid w:val="008B46CF"/>
    <w:rsid w:val="008C16CF"/>
    <w:rsid w:val="00901070"/>
    <w:rsid w:val="00902E9A"/>
    <w:rsid w:val="00903057"/>
    <w:rsid w:val="0090354B"/>
    <w:rsid w:val="00922894"/>
    <w:rsid w:val="00937C9C"/>
    <w:rsid w:val="00952514"/>
    <w:rsid w:val="00952DA9"/>
    <w:rsid w:val="00966EE8"/>
    <w:rsid w:val="00970F4E"/>
    <w:rsid w:val="0097219A"/>
    <w:rsid w:val="009731A7"/>
    <w:rsid w:val="00974557"/>
    <w:rsid w:val="009855B3"/>
    <w:rsid w:val="009868AE"/>
    <w:rsid w:val="00992F6F"/>
    <w:rsid w:val="00996FA8"/>
    <w:rsid w:val="009A0596"/>
    <w:rsid w:val="009A71EA"/>
    <w:rsid w:val="009A7C55"/>
    <w:rsid w:val="009B41FD"/>
    <w:rsid w:val="009C17BF"/>
    <w:rsid w:val="009C191D"/>
    <w:rsid w:val="009C1D08"/>
    <w:rsid w:val="009C3508"/>
    <w:rsid w:val="009C3AA5"/>
    <w:rsid w:val="009C3D3E"/>
    <w:rsid w:val="009C559E"/>
    <w:rsid w:val="009D0A6D"/>
    <w:rsid w:val="009D3530"/>
    <w:rsid w:val="009D4893"/>
    <w:rsid w:val="009D5305"/>
    <w:rsid w:val="009D791D"/>
    <w:rsid w:val="009E44F8"/>
    <w:rsid w:val="009E4766"/>
    <w:rsid w:val="00A02358"/>
    <w:rsid w:val="00A1234E"/>
    <w:rsid w:val="00A14FDC"/>
    <w:rsid w:val="00A1544B"/>
    <w:rsid w:val="00A15D58"/>
    <w:rsid w:val="00A17C2E"/>
    <w:rsid w:val="00A17D78"/>
    <w:rsid w:val="00A231BF"/>
    <w:rsid w:val="00A23E05"/>
    <w:rsid w:val="00A260F7"/>
    <w:rsid w:val="00A266B6"/>
    <w:rsid w:val="00A33BC1"/>
    <w:rsid w:val="00A33CEA"/>
    <w:rsid w:val="00A42E88"/>
    <w:rsid w:val="00A46DAD"/>
    <w:rsid w:val="00A6581E"/>
    <w:rsid w:val="00A77B3E"/>
    <w:rsid w:val="00A80AC9"/>
    <w:rsid w:val="00A854FD"/>
    <w:rsid w:val="00A87241"/>
    <w:rsid w:val="00A87EA9"/>
    <w:rsid w:val="00A963CF"/>
    <w:rsid w:val="00AA6028"/>
    <w:rsid w:val="00AA6247"/>
    <w:rsid w:val="00AA67B4"/>
    <w:rsid w:val="00AA75A1"/>
    <w:rsid w:val="00AA7CC9"/>
    <w:rsid w:val="00AB6187"/>
    <w:rsid w:val="00AD26AC"/>
    <w:rsid w:val="00AE0BD4"/>
    <w:rsid w:val="00AE2263"/>
    <w:rsid w:val="00AE490F"/>
    <w:rsid w:val="00AF165E"/>
    <w:rsid w:val="00AF263F"/>
    <w:rsid w:val="00AF3E7E"/>
    <w:rsid w:val="00AF42CF"/>
    <w:rsid w:val="00B04887"/>
    <w:rsid w:val="00B05A03"/>
    <w:rsid w:val="00B15A2D"/>
    <w:rsid w:val="00B17D11"/>
    <w:rsid w:val="00B306B8"/>
    <w:rsid w:val="00B30F16"/>
    <w:rsid w:val="00B37630"/>
    <w:rsid w:val="00B41AFA"/>
    <w:rsid w:val="00B51094"/>
    <w:rsid w:val="00B56295"/>
    <w:rsid w:val="00B56F43"/>
    <w:rsid w:val="00B57337"/>
    <w:rsid w:val="00B61389"/>
    <w:rsid w:val="00B62AF3"/>
    <w:rsid w:val="00B64DCE"/>
    <w:rsid w:val="00B72B31"/>
    <w:rsid w:val="00B75A98"/>
    <w:rsid w:val="00B81794"/>
    <w:rsid w:val="00B825B8"/>
    <w:rsid w:val="00B85916"/>
    <w:rsid w:val="00B90EA0"/>
    <w:rsid w:val="00B915DB"/>
    <w:rsid w:val="00BA564F"/>
    <w:rsid w:val="00BB2362"/>
    <w:rsid w:val="00BB7DB0"/>
    <w:rsid w:val="00BC054B"/>
    <w:rsid w:val="00BC12D7"/>
    <w:rsid w:val="00BC2752"/>
    <w:rsid w:val="00BC3F6A"/>
    <w:rsid w:val="00BD7B34"/>
    <w:rsid w:val="00BD7FB8"/>
    <w:rsid w:val="00BE6797"/>
    <w:rsid w:val="00BF4133"/>
    <w:rsid w:val="00C01B5F"/>
    <w:rsid w:val="00C114CA"/>
    <w:rsid w:val="00C1167D"/>
    <w:rsid w:val="00C1525D"/>
    <w:rsid w:val="00C33E2A"/>
    <w:rsid w:val="00C35204"/>
    <w:rsid w:val="00C3544D"/>
    <w:rsid w:val="00C36B2E"/>
    <w:rsid w:val="00C36FAC"/>
    <w:rsid w:val="00C37684"/>
    <w:rsid w:val="00C40155"/>
    <w:rsid w:val="00C445B9"/>
    <w:rsid w:val="00C44A20"/>
    <w:rsid w:val="00C54825"/>
    <w:rsid w:val="00C720E1"/>
    <w:rsid w:val="00C729E6"/>
    <w:rsid w:val="00C75300"/>
    <w:rsid w:val="00C90727"/>
    <w:rsid w:val="00C90CC2"/>
    <w:rsid w:val="00CA6198"/>
    <w:rsid w:val="00CB521A"/>
    <w:rsid w:val="00CB5E9E"/>
    <w:rsid w:val="00CC57E1"/>
    <w:rsid w:val="00CD31B3"/>
    <w:rsid w:val="00CD3CB4"/>
    <w:rsid w:val="00CE1310"/>
    <w:rsid w:val="00CE68AC"/>
    <w:rsid w:val="00CF17C7"/>
    <w:rsid w:val="00D001E6"/>
    <w:rsid w:val="00D06610"/>
    <w:rsid w:val="00D071D9"/>
    <w:rsid w:val="00D17372"/>
    <w:rsid w:val="00D2136C"/>
    <w:rsid w:val="00D225C7"/>
    <w:rsid w:val="00D4010D"/>
    <w:rsid w:val="00D40D03"/>
    <w:rsid w:val="00D46F96"/>
    <w:rsid w:val="00D5195A"/>
    <w:rsid w:val="00D54AED"/>
    <w:rsid w:val="00D61E7D"/>
    <w:rsid w:val="00D62AC6"/>
    <w:rsid w:val="00D66063"/>
    <w:rsid w:val="00D675CE"/>
    <w:rsid w:val="00D67E77"/>
    <w:rsid w:val="00D73EFB"/>
    <w:rsid w:val="00D8148A"/>
    <w:rsid w:val="00D9051F"/>
    <w:rsid w:val="00D934F2"/>
    <w:rsid w:val="00D942B1"/>
    <w:rsid w:val="00DA37B4"/>
    <w:rsid w:val="00DA6197"/>
    <w:rsid w:val="00DA65A0"/>
    <w:rsid w:val="00DA7474"/>
    <w:rsid w:val="00DB10A5"/>
    <w:rsid w:val="00DB1DCB"/>
    <w:rsid w:val="00DB41F3"/>
    <w:rsid w:val="00DB53F2"/>
    <w:rsid w:val="00DC214B"/>
    <w:rsid w:val="00DC5BC4"/>
    <w:rsid w:val="00DC6EA5"/>
    <w:rsid w:val="00DD245D"/>
    <w:rsid w:val="00DD3C03"/>
    <w:rsid w:val="00DE1094"/>
    <w:rsid w:val="00DE4330"/>
    <w:rsid w:val="00DE58B1"/>
    <w:rsid w:val="00DF2F6E"/>
    <w:rsid w:val="00DF4409"/>
    <w:rsid w:val="00DF5A26"/>
    <w:rsid w:val="00E0197A"/>
    <w:rsid w:val="00E118E8"/>
    <w:rsid w:val="00E15069"/>
    <w:rsid w:val="00E15A3B"/>
    <w:rsid w:val="00E22A10"/>
    <w:rsid w:val="00E268BC"/>
    <w:rsid w:val="00E27986"/>
    <w:rsid w:val="00E322D3"/>
    <w:rsid w:val="00E34C56"/>
    <w:rsid w:val="00E34C58"/>
    <w:rsid w:val="00E418E9"/>
    <w:rsid w:val="00E46D85"/>
    <w:rsid w:val="00E5003A"/>
    <w:rsid w:val="00E51238"/>
    <w:rsid w:val="00E533F1"/>
    <w:rsid w:val="00E542C7"/>
    <w:rsid w:val="00E55B1C"/>
    <w:rsid w:val="00E6152C"/>
    <w:rsid w:val="00E67AE6"/>
    <w:rsid w:val="00E70EC8"/>
    <w:rsid w:val="00E73FA4"/>
    <w:rsid w:val="00E84E0C"/>
    <w:rsid w:val="00E900C2"/>
    <w:rsid w:val="00E90E2F"/>
    <w:rsid w:val="00E95007"/>
    <w:rsid w:val="00EA46A0"/>
    <w:rsid w:val="00EA6830"/>
    <w:rsid w:val="00EA772F"/>
    <w:rsid w:val="00EB4F31"/>
    <w:rsid w:val="00EC35E6"/>
    <w:rsid w:val="00EC5CEE"/>
    <w:rsid w:val="00EC6ED9"/>
    <w:rsid w:val="00EC7714"/>
    <w:rsid w:val="00ED6C37"/>
    <w:rsid w:val="00EF6272"/>
    <w:rsid w:val="00F02373"/>
    <w:rsid w:val="00F04332"/>
    <w:rsid w:val="00F1225D"/>
    <w:rsid w:val="00F20EC2"/>
    <w:rsid w:val="00F21271"/>
    <w:rsid w:val="00F23776"/>
    <w:rsid w:val="00F250A7"/>
    <w:rsid w:val="00F31CE7"/>
    <w:rsid w:val="00F357FC"/>
    <w:rsid w:val="00F37BFA"/>
    <w:rsid w:val="00F41A6F"/>
    <w:rsid w:val="00F439B9"/>
    <w:rsid w:val="00F43C9D"/>
    <w:rsid w:val="00F61079"/>
    <w:rsid w:val="00F64D42"/>
    <w:rsid w:val="00F65D2B"/>
    <w:rsid w:val="00F667C5"/>
    <w:rsid w:val="00F93171"/>
    <w:rsid w:val="00FA3A5F"/>
    <w:rsid w:val="00FA3A95"/>
    <w:rsid w:val="00FA6586"/>
    <w:rsid w:val="00FC6375"/>
    <w:rsid w:val="00FD0881"/>
    <w:rsid w:val="00FD481B"/>
    <w:rsid w:val="00FD52C9"/>
    <w:rsid w:val="00FD7DF9"/>
    <w:rsid w:val="00FE17E2"/>
    <w:rsid w:val="00FE482E"/>
    <w:rsid w:val="00FE51B6"/>
    <w:rsid w:val="00FF1CBA"/>
    <w:rsid w:val="01007E42"/>
    <w:rsid w:val="01026223"/>
    <w:rsid w:val="01275D20"/>
    <w:rsid w:val="01583385"/>
    <w:rsid w:val="017734C4"/>
    <w:rsid w:val="01864D83"/>
    <w:rsid w:val="019A5532"/>
    <w:rsid w:val="019B685C"/>
    <w:rsid w:val="02044F27"/>
    <w:rsid w:val="0238643A"/>
    <w:rsid w:val="024A2175"/>
    <w:rsid w:val="028D3811"/>
    <w:rsid w:val="029E7AD0"/>
    <w:rsid w:val="02F545EC"/>
    <w:rsid w:val="02FA30D3"/>
    <w:rsid w:val="03090322"/>
    <w:rsid w:val="032759B1"/>
    <w:rsid w:val="03A07AD7"/>
    <w:rsid w:val="03BF5C9E"/>
    <w:rsid w:val="0407324A"/>
    <w:rsid w:val="0439713F"/>
    <w:rsid w:val="047A0AE3"/>
    <w:rsid w:val="04AC72EC"/>
    <w:rsid w:val="05190704"/>
    <w:rsid w:val="057B7AFF"/>
    <w:rsid w:val="0580226C"/>
    <w:rsid w:val="05AA531D"/>
    <w:rsid w:val="05CD3179"/>
    <w:rsid w:val="05D067D9"/>
    <w:rsid w:val="06750C66"/>
    <w:rsid w:val="06C35F8E"/>
    <w:rsid w:val="06DB7470"/>
    <w:rsid w:val="06E51B6B"/>
    <w:rsid w:val="06EF58D3"/>
    <w:rsid w:val="07116147"/>
    <w:rsid w:val="07445F64"/>
    <w:rsid w:val="075E76FE"/>
    <w:rsid w:val="079B0BC0"/>
    <w:rsid w:val="0836419C"/>
    <w:rsid w:val="085241F0"/>
    <w:rsid w:val="0855720F"/>
    <w:rsid w:val="085B4F44"/>
    <w:rsid w:val="088D5F5C"/>
    <w:rsid w:val="08C005A2"/>
    <w:rsid w:val="08EB30F4"/>
    <w:rsid w:val="09037F14"/>
    <w:rsid w:val="090833CC"/>
    <w:rsid w:val="096D5AA7"/>
    <w:rsid w:val="0997077C"/>
    <w:rsid w:val="09E0143B"/>
    <w:rsid w:val="09FD11BF"/>
    <w:rsid w:val="0A260FC3"/>
    <w:rsid w:val="0A2B6A3F"/>
    <w:rsid w:val="0A540B39"/>
    <w:rsid w:val="0A611299"/>
    <w:rsid w:val="0AB823C4"/>
    <w:rsid w:val="0ACA4546"/>
    <w:rsid w:val="0ADE3B76"/>
    <w:rsid w:val="0B4278E4"/>
    <w:rsid w:val="0BA525D8"/>
    <w:rsid w:val="0BD10048"/>
    <w:rsid w:val="0BD50CE3"/>
    <w:rsid w:val="0C2F6006"/>
    <w:rsid w:val="0C392C1F"/>
    <w:rsid w:val="0C426CB3"/>
    <w:rsid w:val="0C5056AF"/>
    <w:rsid w:val="0C5B37C6"/>
    <w:rsid w:val="0C5B3F21"/>
    <w:rsid w:val="0C602928"/>
    <w:rsid w:val="0C8352C9"/>
    <w:rsid w:val="0C88726E"/>
    <w:rsid w:val="0CCB7B51"/>
    <w:rsid w:val="0CD83AA7"/>
    <w:rsid w:val="0D08638B"/>
    <w:rsid w:val="0D7C6716"/>
    <w:rsid w:val="0DC134A7"/>
    <w:rsid w:val="0E014932"/>
    <w:rsid w:val="0E155B5A"/>
    <w:rsid w:val="0E4D03C4"/>
    <w:rsid w:val="0E512BF8"/>
    <w:rsid w:val="0EEF4264"/>
    <w:rsid w:val="0EF20E9B"/>
    <w:rsid w:val="0EF46240"/>
    <w:rsid w:val="0EFA5499"/>
    <w:rsid w:val="0F296557"/>
    <w:rsid w:val="0F465E03"/>
    <w:rsid w:val="0F681E22"/>
    <w:rsid w:val="0F6C20F8"/>
    <w:rsid w:val="0F9262E5"/>
    <w:rsid w:val="0FEE60A0"/>
    <w:rsid w:val="100B5B75"/>
    <w:rsid w:val="10390CED"/>
    <w:rsid w:val="108D7FEC"/>
    <w:rsid w:val="10A15F20"/>
    <w:rsid w:val="10C34A85"/>
    <w:rsid w:val="10DD3E24"/>
    <w:rsid w:val="10EB0A61"/>
    <w:rsid w:val="10F96CD3"/>
    <w:rsid w:val="110D477C"/>
    <w:rsid w:val="11230728"/>
    <w:rsid w:val="11301804"/>
    <w:rsid w:val="117E3EBF"/>
    <w:rsid w:val="11A63895"/>
    <w:rsid w:val="11AA0E33"/>
    <w:rsid w:val="11D465DE"/>
    <w:rsid w:val="11DE5C6A"/>
    <w:rsid w:val="11F35E10"/>
    <w:rsid w:val="121E003E"/>
    <w:rsid w:val="123238F4"/>
    <w:rsid w:val="124E6914"/>
    <w:rsid w:val="12545C6B"/>
    <w:rsid w:val="127A62D0"/>
    <w:rsid w:val="12BA51F9"/>
    <w:rsid w:val="12D84CD4"/>
    <w:rsid w:val="12F51579"/>
    <w:rsid w:val="12FD7CCA"/>
    <w:rsid w:val="13042B7A"/>
    <w:rsid w:val="131909C4"/>
    <w:rsid w:val="137139DD"/>
    <w:rsid w:val="13C139AF"/>
    <w:rsid w:val="13E01C4A"/>
    <w:rsid w:val="13F761E0"/>
    <w:rsid w:val="14333776"/>
    <w:rsid w:val="143A679C"/>
    <w:rsid w:val="144E16AB"/>
    <w:rsid w:val="144F6715"/>
    <w:rsid w:val="145843FC"/>
    <w:rsid w:val="147A16BB"/>
    <w:rsid w:val="149B6817"/>
    <w:rsid w:val="14AA5797"/>
    <w:rsid w:val="156600AB"/>
    <w:rsid w:val="15667555"/>
    <w:rsid w:val="157E3E54"/>
    <w:rsid w:val="15A97268"/>
    <w:rsid w:val="15CF1DD7"/>
    <w:rsid w:val="15E224A7"/>
    <w:rsid w:val="16150220"/>
    <w:rsid w:val="164342FA"/>
    <w:rsid w:val="165770B0"/>
    <w:rsid w:val="16635F8A"/>
    <w:rsid w:val="16A22BEB"/>
    <w:rsid w:val="16CB645F"/>
    <w:rsid w:val="16D743AB"/>
    <w:rsid w:val="16D904DF"/>
    <w:rsid w:val="171149C7"/>
    <w:rsid w:val="171820A2"/>
    <w:rsid w:val="1754181D"/>
    <w:rsid w:val="17571001"/>
    <w:rsid w:val="17707BBF"/>
    <w:rsid w:val="17776970"/>
    <w:rsid w:val="179E6119"/>
    <w:rsid w:val="17BA1FA3"/>
    <w:rsid w:val="17CF624F"/>
    <w:rsid w:val="18106EC5"/>
    <w:rsid w:val="181270D8"/>
    <w:rsid w:val="183A7AB3"/>
    <w:rsid w:val="18402742"/>
    <w:rsid w:val="185C4B83"/>
    <w:rsid w:val="190136C6"/>
    <w:rsid w:val="190C0B53"/>
    <w:rsid w:val="195924DA"/>
    <w:rsid w:val="19AD3DF7"/>
    <w:rsid w:val="19B50D0C"/>
    <w:rsid w:val="1A40548D"/>
    <w:rsid w:val="1ACA77FB"/>
    <w:rsid w:val="1ACC5BF8"/>
    <w:rsid w:val="1AD774CB"/>
    <w:rsid w:val="1B1E67F8"/>
    <w:rsid w:val="1B200CF6"/>
    <w:rsid w:val="1B390BDC"/>
    <w:rsid w:val="1B8E7170"/>
    <w:rsid w:val="1BC73E1F"/>
    <w:rsid w:val="1BE0443F"/>
    <w:rsid w:val="1C471722"/>
    <w:rsid w:val="1C5C588F"/>
    <w:rsid w:val="1C970C7C"/>
    <w:rsid w:val="1C983F97"/>
    <w:rsid w:val="1CB1569A"/>
    <w:rsid w:val="1CB313F6"/>
    <w:rsid w:val="1CBE4B4B"/>
    <w:rsid w:val="1CEF0D6A"/>
    <w:rsid w:val="1CF26A5C"/>
    <w:rsid w:val="1CFB6B14"/>
    <w:rsid w:val="1D3C45B0"/>
    <w:rsid w:val="1D4028B0"/>
    <w:rsid w:val="1D8A35A8"/>
    <w:rsid w:val="1DDD1DE6"/>
    <w:rsid w:val="1E00462C"/>
    <w:rsid w:val="1E1C5E73"/>
    <w:rsid w:val="1E282FF3"/>
    <w:rsid w:val="1E2B39B6"/>
    <w:rsid w:val="1E3D5BFF"/>
    <w:rsid w:val="1E3F5B0A"/>
    <w:rsid w:val="1E402DD2"/>
    <w:rsid w:val="1E5B585E"/>
    <w:rsid w:val="1E703E54"/>
    <w:rsid w:val="1E8303B8"/>
    <w:rsid w:val="1EA0459D"/>
    <w:rsid w:val="1EA62DBC"/>
    <w:rsid w:val="1EB21D4C"/>
    <w:rsid w:val="1ECC5D06"/>
    <w:rsid w:val="1ED42809"/>
    <w:rsid w:val="1F384EA1"/>
    <w:rsid w:val="1F6A2CF4"/>
    <w:rsid w:val="1F9F2549"/>
    <w:rsid w:val="1FB42F8C"/>
    <w:rsid w:val="1FC374ED"/>
    <w:rsid w:val="1FCC5382"/>
    <w:rsid w:val="1FF71BD2"/>
    <w:rsid w:val="1FFD6FC8"/>
    <w:rsid w:val="202279CC"/>
    <w:rsid w:val="20441B19"/>
    <w:rsid w:val="20520281"/>
    <w:rsid w:val="20663493"/>
    <w:rsid w:val="2069018D"/>
    <w:rsid w:val="20940B18"/>
    <w:rsid w:val="20A0219D"/>
    <w:rsid w:val="20B87A68"/>
    <w:rsid w:val="20BF45FE"/>
    <w:rsid w:val="20C6666F"/>
    <w:rsid w:val="20C70459"/>
    <w:rsid w:val="20D34E96"/>
    <w:rsid w:val="2102069D"/>
    <w:rsid w:val="21082292"/>
    <w:rsid w:val="213E3E63"/>
    <w:rsid w:val="214C6062"/>
    <w:rsid w:val="217F6F47"/>
    <w:rsid w:val="217F7DC8"/>
    <w:rsid w:val="21C9221A"/>
    <w:rsid w:val="22160B82"/>
    <w:rsid w:val="223F3F77"/>
    <w:rsid w:val="2297314D"/>
    <w:rsid w:val="229F23A9"/>
    <w:rsid w:val="22A279E3"/>
    <w:rsid w:val="22BA2B41"/>
    <w:rsid w:val="22BF0053"/>
    <w:rsid w:val="22D26F9A"/>
    <w:rsid w:val="23561695"/>
    <w:rsid w:val="23886FC3"/>
    <w:rsid w:val="23B12896"/>
    <w:rsid w:val="23CB0902"/>
    <w:rsid w:val="23F316BB"/>
    <w:rsid w:val="24763848"/>
    <w:rsid w:val="247C12B5"/>
    <w:rsid w:val="24827E18"/>
    <w:rsid w:val="24880FB1"/>
    <w:rsid w:val="24963225"/>
    <w:rsid w:val="24DF6949"/>
    <w:rsid w:val="2513393D"/>
    <w:rsid w:val="253353F5"/>
    <w:rsid w:val="25377C12"/>
    <w:rsid w:val="25902E9C"/>
    <w:rsid w:val="25B0273C"/>
    <w:rsid w:val="25D45C3E"/>
    <w:rsid w:val="25DD61F7"/>
    <w:rsid w:val="25E81861"/>
    <w:rsid w:val="26034EF6"/>
    <w:rsid w:val="260E6047"/>
    <w:rsid w:val="261875AF"/>
    <w:rsid w:val="26195E0C"/>
    <w:rsid w:val="263D5C2C"/>
    <w:rsid w:val="26AF716B"/>
    <w:rsid w:val="26D4301E"/>
    <w:rsid w:val="26E17A5C"/>
    <w:rsid w:val="27206942"/>
    <w:rsid w:val="273C76A0"/>
    <w:rsid w:val="27437FDF"/>
    <w:rsid w:val="276E7580"/>
    <w:rsid w:val="279E1806"/>
    <w:rsid w:val="279F27E3"/>
    <w:rsid w:val="27AF28A1"/>
    <w:rsid w:val="27D67955"/>
    <w:rsid w:val="281E11E4"/>
    <w:rsid w:val="284D1502"/>
    <w:rsid w:val="28B92147"/>
    <w:rsid w:val="28F321E9"/>
    <w:rsid w:val="293624BD"/>
    <w:rsid w:val="294D49C5"/>
    <w:rsid w:val="29BA0A21"/>
    <w:rsid w:val="29BE1781"/>
    <w:rsid w:val="29FC77BF"/>
    <w:rsid w:val="2A19597B"/>
    <w:rsid w:val="2A23324E"/>
    <w:rsid w:val="2A6C2D68"/>
    <w:rsid w:val="2A7439F6"/>
    <w:rsid w:val="2AFD4EC5"/>
    <w:rsid w:val="2AFF1738"/>
    <w:rsid w:val="2B046437"/>
    <w:rsid w:val="2B1B420B"/>
    <w:rsid w:val="2B1C14AB"/>
    <w:rsid w:val="2B376F2C"/>
    <w:rsid w:val="2B417276"/>
    <w:rsid w:val="2B5A5895"/>
    <w:rsid w:val="2BCA5B56"/>
    <w:rsid w:val="2C4D60B7"/>
    <w:rsid w:val="2C852F06"/>
    <w:rsid w:val="2C8774D1"/>
    <w:rsid w:val="2C981CCD"/>
    <w:rsid w:val="2C9F53AF"/>
    <w:rsid w:val="2CBA641B"/>
    <w:rsid w:val="2D040C32"/>
    <w:rsid w:val="2D0757A6"/>
    <w:rsid w:val="2D982E0B"/>
    <w:rsid w:val="2DB53B3B"/>
    <w:rsid w:val="2DCC44FF"/>
    <w:rsid w:val="2E072654"/>
    <w:rsid w:val="2E3B239C"/>
    <w:rsid w:val="2E6F38EF"/>
    <w:rsid w:val="2EC24EAE"/>
    <w:rsid w:val="2ECF2473"/>
    <w:rsid w:val="2EEF4340"/>
    <w:rsid w:val="2F9075F6"/>
    <w:rsid w:val="2F9604D9"/>
    <w:rsid w:val="2F9A594D"/>
    <w:rsid w:val="2FDD75D7"/>
    <w:rsid w:val="2FF3519E"/>
    <w:rsid w:val="305B3E03"/>
    <w:rsid w:val="307B4A76"/>
    <w:rsid w:val="30AE4FB6"/>
    <w:rsid w:val="31003851"/>
    <w:rsid w:val="311145A1"/>
    <w:rsid w:val="313279B0"/>
    <w:rsid w:val="31754A73"/>
    <w:rsid w:val="317F3D7D"/>
    <w:rsid w:val="31960D20"/>
    <w:rsid w:val="31A0687C"/>
    <w:rsid w:val="31BB59BE"/>
    <w:rsid w:val="31CD0C24"/>
    <w:rsid w:val="31F0559B"/>
    <w:rsid w:val="31FF60CF"/>
    <w:rsid w:val="32053742"/>
    <w:rsid w:val="32142260"/>
    <w:rsid w:val="322963D4"/>
    <w:rsid w:val="32642296"/>
    <w:rsid w:val="32A01606"/>
    <w:rsid w:val="32C94A9C"/>
    <w:rsid w:val="32E120A3"/>
    <w:rsid w:val="32E5656B"/>
    <w:rsid w:val="33026E10"/>
    <w:rsid w:val="332D454F"/>
    <w:rsid w:val="333C1398"/>
    <w:rsid w:val="334E1463"/>
    <w:rsid w:val="335245FC"/>
    <w:rsid w:val="344016F8"/>
    <w:rsid w:val="346E1273"/>
    <w:rsid w:val="348E3F5F"/>
    <w:rsid w:val="34A07D70"/>
    <w:rsid w:val="34AB5D51"/>
    <w:rsid w:val="34AE125F"/>
    <w:rsid w:val="34D84426"/>
    <w:rsid w:val="34D85063"/>
    <w:rsid w:val="34DA0634"/>
    <w:rsid w:val="359B5E22"/>
    <w:rsid w:val="359C1AAB"/>
    <w:rsid w:val="35A63D95"/>
    <w:rsid w:val="35AB3B2B"/>
    <w:rsid w:val="35B06007"/>
    <w:rsid w:val="35B11597"/>
    <w:rsid w:val="35F0133B"/>
    <w:rsid w:val="360B3E62"/>
    <w:rsid w:val="364E1FAC"/>
    <w:rsid w:val="367F29FE"/>
    <w:rsid w:val="36863A20"/>
    <w:rsid w:val="36BC0BCE"/>
    <w:rsid w:val="36C26B8E"/>
    <w:rsid w:val="36E41E01"/>
    <w:rsid w:val="36E548BA"/>
    <w:rsid w:val="36F452A3"/>
    <w:rsid w:val="374455DA"/>
    <w:rsid w:val="3744619F"/>
    <w:rsid w:val="374D3D38"/>
    <w:rsid w:val="37513218"/>
    <w:rsid w:val="37797AAB"/>
    <w:rsid w:val="37965565"/>
    <w:rsid w:val="39525955"/>
    <w:rsid w:val="39535017"/>
    <w:rsid w:val="39681137"/>
    <w:rsid w:val="3971655D"/>
    <w:rsid w:val="39BA1ADC"/>
    <w:rsid w:val="3A575933"/>
    <w:rsid w:val="3A5A62B8"/>
    <w:rsid w:val="3A735F50"/>
    <w:rsid w:val="3A8D08BE"/>
    <w:rsid w:val="3A946615"/>
    <w:rsid w:val="3AE83416"/>
    <w:rsid w:val="3B1E1277"/>
    <w:rsid w:val="3B241639"/>
    <w:rsid w:val="3B2958E9"/>
    <w:rsid w:val="3B4342F2"/>
    <w:rsid w:val="3B484618"/>
    <w:rsid w:val="3BAC54A0"/>
    <w:rsid w:val="3BB450D2"/>
    <w:rsid w:val="3BB83A55"/>
    <w:rsid w:val="3BBD42E3"/>
    <w:rsid w:val="3C016259"/>
    <w:rsid w:val="3C5D5296"/>
    <w:rsid w:val="3C70334F"/>
    <w:rsid w:val="3C712927"/>
    <w:rsid w:val="3C797D13"/>
    <w:rsid w:val="3C806348"/>
    <w:rsid w:val="3C815D51"/>
    <w:rsid w:val="3CD2615F"/>
    <w:rsid w:val="3CEF5D68"/>
    <w:rsid w:val="3D11205B"/>
    <w:rsid w:val="3D364B3C"/>
    <w:rsid w:val="3D3D55B3"/>
    <w:rsid w:val="3D50398D"/>
    <w:rsid w:val="3D5619DA"/>
    <w:rsid w:val="3D5D0F6E"/>
    <w:rsid w:val="3D755874"/>
    <w:rsid w:val="3DAC46D3"/>
    <w:rsid w:val="3DE25DB3"/>
    <w:rsid w:val="3DE6670E"/>
    <w:rsid w:val="3E4B156F"/>
    <w:rsid w:val="3E7A463F"/>
    <w:rsid w:val="3E895566"/>
    <w:rsid w:val="3E925B12"/>
    <w:rsid w:val="3EE1564E"/>
    <w:rsid w:val="3F0128C7"/>
    <w:rsid w:val="3F12480E"/>
    <w:rsid w:val="3F50722A"/>
    <w:rsid w:val="3F645D9C"/>
    <w:rsid w:val="3F8E1AF4"/>
    <w:rsid w:val="3FA35235"/>
    <w:rsid w:val="3FE62824"/>
    <w:rsid w:val="3FFD4490"/>
    <w:rsid w:val="40186353"/>
    <w:rsid w:val="405A34BE"/>
    <w:rsid w:val="40650AB8"/>
    <w:rsid w:val="40D50F73"/>
    <w:rsid w:val="40E765BD"/>
    <w:rsid w:val="410D6E30"/>
    <w:rsid w:val="41412351"/>
    <w:rsid w:val="414E6719"/>
    <w:rsid w:val="416D4D8C"/>
    <w:rsid w:val="417A46D4"/>
    <w:rsid w:val="419345E1"/>
    <w:rsid w:val="41940CDA"/>
    <w:rsid w:val="41AA2509"/>
    <w:rsid w:val="41C61D98"/>
    <w:rsid w:val="41CF0BCF"/>
    <w:rsid w:val="41D427C4"/>
    <w:rsid w:val="41E04248"/>
    <w:rsid w:val="42042CCA"/>
    <w:rsid w:val="422C2364"/>
    <w:rsid w:val="42696552"/>
    <w:rsid w:val="42812A86"/>
    <w:rsid w:val="42B56350"/>
    <w:rsid w:val="432C5504"/>
    <w:rsid w:val="43365770"/>
    <w:rsid w:val="433F05BE"/>
    <w:rsid w:val="43482809"/>
    <w:rsid w:val="43727FC7"/>
    <w:rsid w:val="43794BD1"/>
    <w:rsid w:val="43876CC6"/>
    <w:rsid w:val="4402491B"/>
    <w:rsid w:val="447629D7"/>
    <w:rsid w:val="44A703E9"/>
    <w:rsid w:val="44C409AF"/>
    <w:rsid w:val="44CB6471"/>
    <w:rsid w:val="44D70159"/>
    <w:rsid w:val="4504471C"/>
    <w:rsid w:val="45203230"/>
    <w:rsid w:val="452F387D"/>
    <w:rsid w:val="45603002"/>
    <w:rsid w:val="4567448A"/>
    <w:rsid w:val="460008CE"/>
    <w:rsid w:val="46212412"/>
    <w:rsid w:val="46767AA6"/>
    <w:rsid w:val="46A301C2"/>
    <w:rsid w:val="46A6408A"/>
    <w:rsid w:val="46A83331"/>
    <w:rsid w:val="46B215A3"/>
    <w:rsid w:val="46C22DD5"/>
    <w:rsid w:val="46C36755"/>
    <w:rsid w:val="46D027AA"/>
    <w:rsid w:val="46DC5D92"/>
    <w:rsid w:val="46E27E0C"/>
    <w:rsid w:val="47396823"/>
    <w:rsid w:val="47711558"/>
    <w:rsid w:val="47723768"/>
    <w:rsid w:val="47D9353C"/>
    <w:rsid w:val="47E54F55"/>
    <w:rsid w:val="47EE423B"/>
    <w:rsid w:val="480005CF"/>
    <w:rsid w:val="48A25DD0"/>
    <w:rsid w:val="48C81937"/>
    <w:rsid w:val="48D73DAB"/>
    <w:rsid w:val="48DD2962"/>
    <w:rsid w:val="48E734B9"/>
    <w:rsid w:val="49490BB1"/>
    <w:rsid w:val="494B36B3"/>
    <w:rsid w:val="49692915"/>
    <w:rsid w:val="4A1001FC"/>
    <w:rsid w:val="4A3847B0"/>
    <w:rsid w:val="4A3F772C"/>
    <w:rsid w:val="4A492B02"/>
    <w:rsid w:val="4A525AF7"/>
    <w:rsid w:val="4A584C12"/>
    <w:rsid w:val="4A6603DD"/>
    <w:rsid w:val="4A6E7668"/>
    <w:rsid w:val="4A9876F1"/>
    <w:rsid w:val="4AB4238D"/>
    <w:rsid w:val="4ABC719B"/>
    <w:rsid w:val="4ADA3BA5"/>
    <w:rsid w:val="4B054806"/>
    <w:rsid w:val="4B1413A3"/>
    <w:rsid w:val="4B1C763E"/>
    <w:rsid w:val="4B6C0448"/>
    <w:rsid w:val="4B992729"/>
    <w:rsid w:val="4BC54AFC"/>
    <w:rsid w:val="4BF14E5C"/>
    <w:rsid w:val="4BF6455A"/>
    <w:rsid w:val="4C2A6C7A"/>
    <w:rsid w:val="4C2C72E7"/>
    <w:rsid w:val="4CB2203E"/>
    <w:rsid w:val="4D2F1ADF"/>
    <w:rsid w:val="4D397E04"/>
    <w:rsid w:val="4D5B3007"/>
    <w:rsid w:val="4D83282D"/>
    <w:rsid w:val="4DB91463"/>
    <w:rsid w:val="4E2C33DD"/>
    <w:rsid w:val="4E3516A9"/>
    <w:rsid w:val="4E663FE6"/>
    <w:rsid w:val="4E982F17"/>
    <w:rsid w:val="4EBC4081"/>
    <w:rsid w:val="4ED43E85"/>
    <w:rsid w:val="4EEB7681"/>
    <w:rsid w:val="4F377CE8"/>
    <w:rsid w:val="4F48599F"/>
    <w:rsid w:val="4F604C84"/>
    <w:rsid w:val="4F687B14"/>
    <w:rsid w:val="4F96706C"/>
    <w:rsid w:val="4FA060F5"/>
    <w:rsid w:val="4FC915F8"/>
    <w:rsid w:val="4FDA6341"/>
    <w:rsid w:val="50421741"/>
    <w:rsid w:val="504E4277"/>
    <w:rsid w:val="506A4669"/>
    <w:rsid w:val="506F3038"/>
    <w:rsid w:val="50BB78A8"/>
    <w:rsid w:val="50F07683"/>
    <w:rsid w:val="51316332"/>
    <w:rsid w:val="5143165E"/>
    <w:rsid w:val="5152292F"/>
    <w:rsid w:val="516C70A1"/>
    <w:rsid w:val="524B2109"/>
    <w:rsid w:val="52725570"/>
    <w:rsid w:val="52D25198"/>
    <w:rsid w:val="52DF7655"/>
    <w:rsid w:val="52F21B43"/>
    <w:rsid w:val="52FC20E7"/>
    <w:rsid w:val="53315390"/>
    <w:rsid w:val="534B0C47"/>
    <w:rsid w:val="5360776D"/>
    <w:rsid w:val="53682721"/>
    <w:rsid w:val="537261AA"/>
    <w:rsid w:val="537B3490"/>
    <w:rsid w:val="53E411F3"/>
    <w:rsid w:val="53FE0393"/>
    <w:rsid w:val="544534B4"/>
    <w:rsid w:val="544A095C"/>
    <w:rsid w:val="544D59FD"/>
    <w:rsid w:val="550479F9"/>
    <w:rsid w:val="55231B08"/>
    <w:rsid w:val="554054D5"/>
    <w:rsid w:val="5565242B"/>
    <w:rsid w:val="557D432D"/>
    <w:rsid w:val="558B0EF2"/>
    <w:rsid w:val="55A74D06"/>
    <w:rsid w:val="55A75A83"/>
    <w:rsid w:val="55C839DA"/>
    <w:rsid w:val="56195DC5"/>
    <w:rsid w:val="561D69C4"/>
    <w:rsid w:val="562079EA"/>
    <w:rsid w:val="565A09B0"/>
    <w:rsid w:val="5671771B"/>
    <w:rsid w:val="569F5204"/>
    <w:rsid w:val="56A40F80"/>
    <w:rsid w:val="56E30A23"/>
    <w:rsid w:val="56F805D3"/>
    <w:rsid w:val="56FB6AB2"/>
    <w:rsid w:val="572F2122"/>
    <w:rsid w:val="5732282D"/>
    <w:rsid w:val="57513E3C"/>
    <w:rsid w:val="575E71D1"/>
    <w:rsid w:val="57656AAF"/>
    <w:rsid w:val="57780285"/>
    <w:rsid w:val="57895841"/>
    <w:rsid w:val="57CB7122"/>
    <w:rsid w:val="57D12C5A"/>
    <w:rsid w:val="580F49BF"/>
    <w:rsid w:val="583B5480"/>
    <w:rsid w:val="58C67724"/>
    <w:rsid w:val="58F74373"/>
    <w:rsid w:val="58FB6986"/>
    <w:rsid w:val="59087308"/>
    <w:rsid w:val="592B2BC8"/>
    <w:rsid w:val="5932697F"/>
    <w:rsid w:val="5945570A"/>
    <w:rsid w:val="59843CBF"/>
    <w:rsid w:val="598A1022"/>
    <w:rsid w:val="59B93578"/>
    <w:rsid w:val="59C60319"/>
    <w:rsid w:val="5A713E12"/>
    <w:rsid w:val="5AC015B8"/>
    <w:rsid w:val="5AE2690A"/>
    <w:rsid w:val="5AF16743"/>
    <w:rsid w:val="5B021D04"/>
    <w:rsid w:val="5B365BD0"/>
    <w:rsid w:val="5B5267B9"/>
    <w:rsid w:val="5B5F034D"/>
    <w:rsid w:val="5B64318C"/>
    <w:rsid w:val="5B7A2A80"/>
    <w:rsid w:val="5BC05588"/>
    <w:rsid w:val="5BD42E24"/>
    <w:rsid w:val="5BE21F66"/>
    <w:rsid w:val="5BFB37A6"/>
    <w:rsid w:val="5C157F43"/>
    <w:rsid w:val="5C240C7B"/>
    <w:rsid w:val="5C8D51F6"/>
    <w:rsid w:val="5C9B08F9"/>
    <w:rsid w:val="5CA52AF5"/>
    <w:rsid w:val="5CB963A2"/>
    <w:rsid w:val="5CC41C0D"/>
    <w:rsid w:val="5CCE1A7B"/>
    <w:rsid w:val="5CE42D12"/>
    <w:rsid w:val="5D2915E4"/>
    <w:rsid w:val="5D3B71FE"/>
    <w:rsid w:val="5D5D7AEC"/>
    <w:rsid w:val="5D6A3C9B"/>
    <w:rsid w:val="5DB07B64"/>
    <w:rsid w:val="5DB7265E"/>
    <w:rsid w:val="5DDE2965"/>
    <w:rsid w:val="5DE55D4F"/>
    <w:rsid w:val="5E0B635A"/>
    <w:rsid w:val="5E874794"/>
    <w:rsid w:val="5EA11D24"/>
    <w:rsid w:val="5EB9169C"/>
    <w:rsid w:val="5ED02091"/>
    <w:rsid w:val="5EF54261"/>
    <w:rsid w:val="5EF66F80"/>
    <w:rsid w:val="5EFD3DCB"/>
    <w:rsid w:val="5F323D85"/>
    <w:rsid w:val="5F5919A6"/>
    <w:rsid w:val="5F82440E"/>
    <w:rsid w:val="5F925DFC"/>
    <w:rsid w:val="5F9D6970"/>
    <w:rsid w:val="5FB7111C"/>
    <w:rsid w:val="5FB87095"/>
    <w:rsid w:val="5FE408D5"/>
    <w:rsid w:val="600A0DD5"/>
    <w:rsid w:val="601A0E99"/>
    <w:rsid w:val="60210B27"/>
    <w:rsid w:val="60675970"/>
    <w:rsid w:val="607F78F5"/>
    <w:rsid w:val="60992FAF"/>
    <w:rsid w:val="60C7316A"/>
    <w:rsid w:val="60CE3883"/>
    <w:rsid w:val="60F316ED"/>
    <w:rsid w:val="610B3038"/>
    <w:rsid w:val="6157463B"/>
    <w:rsid w:val="617E4947"/>
    <w:rsid w:val="618C3680"/>
    <w:rsid w:val="619157A0"/>
    <w:rsid w:val="619A090F"/>
    <w:rsid w:val="61AD7FAC"/>
    <w:rsid w:val="61CD7939"/>
    <w:rsid w:val="62012E19"/>
    <w:rsid w:val="620432C5"/>
    <w:rsid w:val="620C4DF8"/>
    <w:rsid w:val="62552691"/>
    <w:rsid w:val="627E0359"/>
    <w:rsid w:val="62943E11"/>
    <w:rsid w:val="62E65330"/>
    <w:rsid w:val="62FE72D8"/>
    <w:rsid w:val="631D6B30"/>
    <w:rsid w:val="632259C4"/>
    <w:rsid w:val="63263D0D"/>
    <w:rsid w:val="634D2D5C"/>
    <w:rsid w:val="6373260F"/>
    <w:rsid w:val="63856413"/>
    <w:rsid w:val="63D201A3"/>
    <w:rsid w:val="63E43042"/>
    <w:rsid w:val="64003D27"/>
    <w:rsid w:val="644763D7"/>
    <w:rsid w:val="646E04C5"/>
    <w:rsid w:val="64757F56"/>
    <w:rsid w:val="64774252"/>
    <w:rsid w:val="64823B69"/>
    <w:rsid w:val="649548FB"/>
    <w:rsid w:val="64AD388C"/>
    <w:rsid w:val="64B60830"/>
    <w:rsid w:val="64E7038F"/>
    <w:rsid w:val="65767A7B"/>
    <w:rsid w:val="65922283"/>
    <w:rsid w:val="65956809"/>
    <w:rsid w:val="65A45561"/>
    <w:rsid w:val="65CA5B5D"/>
    <w:rsid w:val="660451B0"/>
    <w:rsid w:val="66481318"/>
    <w:rsid w:val="66582833"/>
    <w:rsid w:val="667557A4"/>
    <w:rsid w:val="668E5B14"/>
    <w:rsid w:val="66A11D77"/>
    <w:rsid w:val="66C66E69"/>
    <w:rsid w:val="673D3AD3"/>
    <w:rsid w:val="67AA791C"/>
    <w:rsid w:val="681253D0"/>
    <w:rsid w:val="68464F3B"/>
    <w:rsid w:val="684A64D9"/>
    <w:rsid w:val="685A6D95"/>
    <w:rsid w:val="68853C42"/>
    <w:rsid w:val="68A32F09"/>
    <w:rsid w:val="68AB5EFC"/>
    <w:rsid w:val="68B94F59"/>
    <w:rsid w:val="68F2680E"/>
    <w:rsid w:val="6924250F"/>
    <w:rsid w:val="69271690"/>
    <w:rsid w:val="693D2E64"/>
    <w:rsid w:val="694C0E55"/>
    <w:rsid w:val="696033A5"/>
    <w:rsid w:val="698E4AF7"/>
    <w:rsid w:val="69A16F46"/>
    <w:rsid w:val="69C55233"/>
    <w:rsid w:val="69EB0D20"/>
    <w:rsid w:val="6A1C474A"/>
    <w:rsid w:val="6A932B4B"/>
    <w:rsid w:val="6AE42A3F"/>
    <w:rsid w:val="6AE866A8"/>
    <w:rsid w:val="6AF619D0"/>
    <w:rsid w:val="6B051D29"/>
    <w:rsid w:val="6B2245BB"/>
    <w:rsid w:val="6B6D718E"/>
    <w:rsid w:val="6B711B7A"/>
    <w:rsid w:val="6B9B2A30"/>
    <w:rsid w:val="6BD43669"/>
    <w:rsid w:val="6BE8725E"/>
    <w:rsid w:val="6C152647"/>
    <w:rsid w:val="6C255D33"/>
    <w:rsid w:val="6C2F6077"/>
    <w:rsid w:val="6C4D7600"/>
    <w:rsid w:val="6C6608D6"/>
    <w:rsid w:val="6C7D5484"/>
    <w:rsid w:val="6C9852E5"/>
    <w:rsid w:val="6CD338C5"/>
    <w:rsid w:val="6CD858AC"/>
    <w:rsid w:val="6CFA7D7F"/>
    <w:rsid w:val="6D840003"/>
    <w:rsid w:val="6D8D7A35"/>
    <w:rsid w:val="6DC85167"/>
    <w:rsid w:val="6E4002B9"/>
    <w:rsid w:val="6E4F523E"/>
    <w:rsid w:val="6E5729A2"/>
    <w:rsid w:val="6E583A1F"/>
    <w:rsid w:val="6E6218E2"/>
    <w:rsid w:val="6EAA495D"/>
    <w:rsid w:val="6EAB742B"/>
    <w:rsid w:val="6EB0558D"/>
    <w:rsid w:val="6EC6113E"/>
    <w:rsid w:val="6EC97476"/>
    <w:rsid w:val="6EF22B0C"/>
    <w:rsid w:val="6EFF1080"/>
    <w:rsid w:val="6F170E2C"/>
    <w:rsid w:val="6F1C670B"/>
    <w:rsid w:val="6F45287E"/>
    <w:rsid w:val="6FD821D4"/>
    <w:rsid w:val="70531535"/>
    <w:rsid w:val="7056093E"/>
    <w:rsid w:val="70BF0D6E"/>
    <w:rsid w:val="70E01DD1"/>
    <w:rsid w:val="71146B51"/>
    <w:rsid w:val="71161C74"/>
    <w:rsid w:val="71597165"/>
    <w:rsid w:val="717256AD"/>
    <w:rsid w:val="718544F1"/>
    <w:rsid w:val="71BF79B2"/>
    <w:rsid w:val="71DE2066"/>
    <w:rsid w:val="720A152D"/>
    <w:rsid w:val="721F1D01"/>
    <w:rsid w:val="7222649A"/>
    <w:rsid w:val="72BF6B71"/>
    <w:rsid w:val="72D11304"/>
    <w:rsid w:val="730C4186"/>
    <w:rsid w:val="733D2985"/>
    <w:rsid w:val="7341102A"/>
    <w:rsid w:val="73451F7C"/>
    <w:rsid w:val="737974C3"/>
    <w:rsid w:val="73A17E6A"/>
    <w:rsid w:val="73A2551B"/>
    <w:rsid w:val="73E16D57"/>
    <w:rsid w:val="73EE0AE6"/>
    <w:rsid w:val="743C60DA"/>
    <w:rsid w:val="7453624B"/>
    <w:rsid w:val="746049BA"/>
    <w:rsid w:val="74874E5A"/>
    <w:rsid w:val="74A227F4"/>
    <w:rsid w:val="74A2568B"/>
    <w:rsid w:val="74C47F76"/>
    <w:rsid w:val="751E7598"/>
    <w:rsid w:val="752455E6"/>
    <w:rsid w:val="754E3DD7"/>
    <w:rsid w:val="7573132B"/>
    <w:rsid w:val="75DC3A8B"/>
    <w:rsid w:val="75F0787C"/>
    <w:rsid w:val="75F47E3F"/>
    <w:rsid w:val="76021882"/>
    <w:rsid w:val="761715C6"/>
    <w:rsid w:val="76382B60"/>
    <w:rsid w:val="766574D1"/>
    <w:rsid w:val="7671688D"/>
    <w:rsid w:val="767C3DB4"/>
    <w:rsid w:val="76AC50BB"/>
    <w:rsid w:val="76B26747"/>
    <w:rsid w:val="76DE1045"/>
    <w:rsid w:val="770E2E0E"/>
    <w:rsid w:val="771463D1"/>
    <w:rsid w:val="77311E65"/>
    <w:rsid w:val="77335645"/>
    <w:rsid w:val="774A39DA"/>
    <w:rsid w:val="774F6B0D"/>
    <w:rsid w:val="77543EAD"/>
    <w:rsid w:val="775C0566"/>
    <w:rsid w:val="77777CEB"/>
    <w:rsid w:val="779B02BA"/>
    <w:rsid w:val="77CA4292"/>
    <w:rsid w:val="77D64484"/>
    <w:rsid w:val="77E922B4"/>
    <w:rsid w:val="781617CA"/>
    <w:rsid w:val="786258A4"/>
    <w:rsid w:val="78D0463B"/>
    <w:rsid w:val="7906595E"/>
    <w:rsid w:val="792B000D"/>
    <w:rsid w:val="798B1783"/>
    <w:rsid w:val="798B5582"/>
    <w:rsid w:val="799512A8"/>
    <w:rsid w:val="79A447F7"/>
    <w:rsid w:val="79B2108A"/>
    <w:rsid w:val="79D31950"/>
    <w:rsid w:val="7A182237"/>
    <w:rsid w:val="7A417E6A"/>
    <w:rsid w:val="7A464BD2"/>
    <w:rsid w:val="7A805859"/>
    <w:rsid w:val="7A92024C"/>
    <w:rsid w:val="7A98347A"/>
    <w:rsid w:val="7AA222D1"/>
    <w:rsid w:val="7AC822B7"/>
    <w:rsid w:val="7B0B5BD1"/>
    <w:rsid w:val="7BA53398"/>
    <w:rsid w:val="7BC71689"/>
    <w:rsid w:val="7BE20360"/>
    <w:rsid w:val="7BFE0BED"/>
    <w:rsid w:val="7C1A1A2B"/>
    <w:rsid w:val="7C571BAE"/>
    <w:rsid w:val="7C78688F"/>
    <w:rsid w:val="7C867510"/>
    <w:rsid w:val="7CB11006"/>
    <w:rsid w:val="7CF01DBB"/>
    <w:rsid w:val="7CF45E15"/>
    <w:rsid w:val="7CF9571E"/>
    <w:rsid w:val="7D21376C"/>
    <w:rsid w:val="7D8B198E"/>
    <w:rsid w:val="7D934831"/>
    <w:rsid w:val="7DC554D8"/>
    <w:rsid w:val="7DD75B87"/>
    <w:rsid w:val="7DFC7E2B"/>
    <w:rsid w:val="7E122B46"/>
    <w:rsid w:val="7E2676D0"/>
    <w:rsid w:val="7E350722"/>
    <w:rsid w:val="7E4F73AA"/>
    <w:rsid w:val="7E74200D"/>
    <w:rsid w:val="7E7B6F9A"/>
    <w:rsid w:val="7E94440E"/>
    <w:rsid w:val="7EA22277"/>
    <w:rsid w:val="7EC63541"/>
    <w:rsid w:val="7EE93115"/>
    <w:rsid w:val="7EED4B13"/>
    <w:rsid w:val="7F1C1E8D"/>
    <w:rsid w:val="7F8B1A78"/>
    <w:rsid w:val="7FA418D8"/>
    <w:rsid w:val="7FA92784"/>
    <w:rsid w:val="7FDD570F"/>
    <w:rsid w:val="7FE824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28"/>
    <w:qFormat/>
    <w:uiPriority w:val="0"/>
    <w:pPr>
      <w:keepNext/>
      <w:keepLines/>
      <w:spacing w:before="120" w:after="120"/>
      <w:jc w:val="center"/>
      <w:outlineLvl w:val="0"/>
    </w:pPr>
    <w:rPr>
      <w:rFonts w:cs="Times New Roman"/>
      <w:b/>
      <w:kern w:val="44"/>
      <w:sz w:val="44"/>
    </w:rPr>
  </w:style>
  <w:style w:type="paragraph" w:styleId="3">
    <w:name w:val="heading 2"/>
    <w:basedOn w:val="1"/>
    <w:next w:val="1"/>
    <w:qFormat/>
    <w:uiPriority w:val="0"/>
    <w:pPr>
      <w:keepNext/>
      <w:keepLines/>
      <w:spacing w:before="140" w:after="140" w:line="413" w:lineRule="auto"/>
      <w:jc w:val="center"/>
      <w:outlineLvl w:val="1"/>
    </w:pPr>
    <w:rPr>
      <w:rFonts w:ascii="Arial" w:hAnsi="Arial"/>
      <w:b/>
      <w:sz w:val="28"/>
    </w:rPr>
  </w:style>
  <w:style w:type="paragraph" w:styleId="4">
    <w:name w:val="heading 3"/>
    <w:basedOn w:val="1"/>
    <w:next w:val="1"/>
    <w:semiHidden/>
    <w:unhideWhenUsed/>
    <w:qFormat/>
    <w:uiPriority w:val="0"/>
    <w:pPr>
      <w:keepNext/>
      <w:keepLines/>
      <w:numPr>
        <w:ilvl w:val="2"/>
        <w:numId w:val="1"/>
      </w:numPr>
      <w:spacing w:before="260" w:after="260" w:line="413" w:lineRule="auto"/>
      <w:ind w:left="720" w:hanging="720"/>
      <w:outlineLvl w:val="2"/>
    </w:pPr>
    <w:rPr>
      <w:rFonts w:eastAsia="仿宋" w:cs="Calibri"/>
      <w:b/>
      <w:sz w:val="32"/>
      <w:szCs w:val="24"/>
    </w:rPr>
  </w:style>
  <w:style w:type="paragraph" w:styleId="5">
    <w:name w:val="heading 4"/>
    <w:basedOn w:val="1"/>
    <w:next w:val="1"/>
    <w:qFormat/>
    <w:uiPriority w:val="0"/>
    <w:pPr>
      <w:keepNext/>
      <w:keepLines/>
      <w:outlineLvl w:val="3"/>
    </w:pPr>
    <w:rPr>
      <w:rFonts w:ascii="Arial" w:hAnsi="Arial" w:eastAsia="黑体"/>
      <w:bCs/>
      <w:kern w:val="0"/>
      <w:sz w:val="24"/>
      <w:szCs w:val="28"/>
    </w:rPr>
  </w:style>
  <w:style w:type="paragraph" w:styleId="6">
    <w:name w:val="heading 5"/>
    <w:basedOn w:val="1"/>
    <w:next w:val="1"/>
    <w:semiHidden/>
    <w:unhideWhenUsed/>
    <w:qFormat/>
    <w:uiPriority w:val="0"/>
    <w:pPr>
      <w:keepNext/>
      <w:keepLines/>
      <w:numPr>
        <w:ilvl w:val="4"/>
        <w:numId w:val="1"/>
      </w:numPr>
      <w:spacing w:before="280" w:after="290" w:line="372" w:lineRule="auto"/>
      <w:ind w:left="1008" w:hanging="1008"/>
      <w:outlineLvl w:val="4"/>
    </w:pPr>
    <w:rPr>
      <w:rFonts w:eastAsia="仿宋" w:cs="Calibri"/>
      <w:b/>
      <w:sz w:val="28"/>
      <w:szCs w:val="24"/>
    </w:rPr>
  </w:style>
  <w:style w:type="paragraph" w:styleId="7">
    <w:name w:val="heading 6"/>
    <w:basedOn w:val="1"/>
    <w:next w:val="1"/>
    <w:semiHidden/>
    <w:unhideWhenUsed/>
    <w:qFormat/>
    <w:uiPriority w:val="0"/>
    <w:pPr>
      <w:keepNext/>
      <w:keepLines/>
      <w:numPr>
        <w:ilvl w:val="5"/>
        <w:numId w:val="1"/>
      </w:numPr>
      <w:spacing w:before="240" w:after="64" w:line="317" w:lineRule="auto"/>
      <w:ind w:left="1151" w:hanging="1151"/>
      <w:outlineLvl w:val="5"/>
    </w:pPr>
    <w:rPr>
      <w:rFonts w:ascii="Arial" w:hAnsi="Arial" w:eastAsia="黑体" w:cs="Calibri"/>
      <w:b/>
      <w:sz w:val="24"/>
      <w:szCs w:val="24"/>
    </w:rPr>
  </w:style>
  <w:style w:type="paragraph" w:styleId="8">
    <w:name w:val="heading 7"/>
    <w:basedOn w:val="1"/>
    <w:next w:val="1"/>
    <w:semiHidden/>
    <w:unhideWhenUsed/>
    <w:qFormat/>
    <w:uiPriority w:val="0"/>
    <w:pPr>
      <w:keepNext/>
      <w:keepLines/>
      <w:numPr>
        <w:ilvl w:val="6"/>
        <w:numId w:val="1"/>
      </w:numPr>
      <w:spacing w:before="240" w:after="64" w:line="317" w:lineRule="auto"/>
      <w:ind w:left="1296" w:hanging="1296"/>
      <w:outlineLvl w:val="6"/>
    </w:pPr>
    <w:rPr>
      <w:rFonts w:eastAsia="仿宋" w:cs="Calibri"/>
      <w:b/>
      <w:sz w:val="24"/>
      <w:szCs w:val="24"/>
    </w:rPr>
  </w:style>
  <w:style w:type="character" w:default="1" w:styleId="22">
    <w:name w:val="Default Paragraph Font"/>
    <w:unhideWhenUsed/>
    <w:qFormat/>
    <w:uiPriority w:val="1"/>
  </w:style>
  <w:style w:type="table" w:default="1" w:styleId="20">
    <w:name w:val="Normal Table"/>
    <w:unhideWhenUsed/>
    <w:qFormat/>
    <w:uiPriority w:val="99"/>
    <w:tblPr>
      <w:tblCellMar>
        <w:top w:w="0" w:type="dxa"/>
        <w:left w:w="108" w:type="dxa"/>
        <w:bottom w:w="0" w:type="dxa"/>
        <w:right w:w="108" w:type="dxa"/>
      </w:tblCellMar>
    </w:tblPr>
  </w:style>
  <w:style w:type="paragraph" w:styleId="9">
    <w:name w:val="Document Map"/>
    <w:basedOn w:val="1"/>
    <w:link w:val="40"/>
    <w:qFormat/>
    <w:uiPriority w:val="0"/>
    <w:rPr>
      <w:rFonts w:ascii="宋体" w:eastAsia="宋体"/>
      <w:sz w:val="18"/>
      <w:szCs w:val="18"/>
    </w:rPr>
  </w:style>
  <w:style w:type="paragraph" w:styleId="10">
    <w:name w:val="annotation text"/>
    <w:basedOn w:val="1"/>
    <w:link w:val="27"/>
    <w:unhideWhenUsed/>
    <w:qFormat/>
    <w:uiPriority w:val="99"/>
    <w:pPr>
      <w:jc w:val="left"/>
    </w:pPr>
    <w:rPr>
      <w:rFonts w:cs="Times New Roman"/>
    </w:rPr>
  </w:style>
  <w:style w:type="paragraph" w:styleId="11">
    <w:name w:val="Body Text Indent"/>
    <w:basedOn w:val="1"/>
    <w:link w:val="41"/>
    <w:unhideWhenUsed/>
    <w:qFormat/>
    <w:uiPriority w:val="0"/>
    <w:pPr>
      <w:spacing w:line="360" w:lineRule="auto"/>
      <w:ind w:firstLine="480" w:firstLineChars="200"/>
    </w:pPr>
    <w:rPr>
      <w:rFonts w:ascii="宋体" w:hAnsi="Times New Roman" w:eastAsia="宋体" w:cs="Times New Roman"/>
      <w:sz w:val="24"/>
      <w:szCs w:val="20"/>
    </w:rPr>
  </w:style>
  <w:style w:type="paragraph" w:styleId="12">
    <w:name w:val="Plain Text"/>
    <w:basedOn w:val="1"/>
    <w:qFormat/>
    <w:uiPriority w:val="99"/>
    <w:rPr>
      <w:rFonts w:ascii="宋体" w:hAnsi="Courier New" w:cs="Courier New"/>
      <w:szCs w:val="21"/>
    </w:rPr>
  </w:style>
  <w:style w:type="paragraph" w:styleId="13">
    <w:name w:val="Balloon Text"/>
    <w:basedOn w:val="1"/>
    <w:link w:val="29"/>
    <w:qFormat/>
    <w:uiPriority w:val="0"/>
    <w:rPr>
      <w:rFonts w:cs="Times New Roman"/>
      <w:sz w:val="18"/>
      <w:szCs w:val="18"/>
    </w:rPr>
  </w:style>
  <w:style w:type="paragraph" w:styleId="14">
    <w:name w:val="footer"/>
    <w:basedOn w:val="1"/>
    <w:link w:val="39"/>
    <w:qFormat/>
    <w:uiPriority w:val="99"/>
    <w:pPr>
      <w:tabs>
        <w:tab w:val="center" w:pos="4153"/>
        <w:tab w:val="right" w:pos="8306"/>
      </w:tabs>
      <w:snapToGrid w:val="0"/>
      <w:jc w:val="left"/>
    </w:pPr>
    <w:rPr>
      <w:rFonts w:cs="Times New Roman"/>
      <w:sz w:val="18"/>
    </w:rPr>
  </w:style>
  <w:style w:type="paragraph" w:styleId="1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6">
    <w:name w:val="toc 1"/>
    <w:basedOn w:val="1"/>
    <w:next w:val="1"/>
    <w:qFormat/>
    <w:uiPriority w:val="39"/>
  </w:style>
  <w:style w:type="paragraph" w:styleId="17">
    <w:name w:val="Normal (Web)"/>
    <w:basedOn w:val="1"/>
    <w:unhideWhenUsed/>
    <w:qFormat/>
    <w:uiPriority w:val="0"/>
    <w:pPr>
      <w:widowControl/>
      <w:spacing w:before="100" w:beforeAutospacing="1" w:after="100" w:afterAutospacing="1"/>
      <w:jc w:val="left"/>
    </w:pPr>
    <w:rPr>
      <w:rFonts w:ascii="宋体" w:hAnsi="宋体" w:eastAsia="宋体" w:cs="宋体"/>
      <w:kern w:val="0"/>
      <w:sz w:val="24"/>
    </w:rPr>
  </w:style>
  <w:style w:type="paragraph" w:styleId="18">
    <w:name w:val="annotation subject"/>
    <w:basedOn w:val="10"/>
    <w:next w:val="10"/>
    <w:link w:val="26"/>
    <w:qFormat/>
    <w:uiPriority w:val="0"/>
    <w:rPr>
      <w:b/>
      <w:bCs/>
    </w:rPr>
  </w:style>
  <w:style w:type="paragraph" w:styleId="19">
    <w:name w:val="Body Text First Indent 2"/>
    <w:basedOn w:val="11"/>
    <w:next w:val="1"/>
    <w:unhideWhenUsed/>
    <w:qFormat/>
    <w:uiPriority w:val="99"/>
    <w:pPr>
      <w:spacing w:after="120" w:line="240" w:lineRule="auto"/>
      <w:ind w:left="420" w:leftChars="200" w:firstLine="420" w:firstLineChars="0"/>
    </w:pPr>
    <w:rPr>
      <w:rFonts w:ascii="Arial" w:hAnsi="Arial" w:eastAsia="仿宋" w:cs="Calibri"/>
      <w:sz w:val="21"/>
      <w:szCs w:val="24"/>
    </w:r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Hyperlink"/>
    <w:qFormat/>
    <w:uiPriority w:val="99"/>
    <w:rPr>
      <w:color w:val="0000FF"/>
      <w:u w:val="single"/>
    </w:rPr>
  </w:style>
  <w:style w:type="character" w:styleId="25">
    <w:name w:val="annotation reference"/>
    <w:unhideWhenUsed/>
    <w:qFormat/>
    <w:uiPriority w:val="99"/>
    <w:rPr>
      <w:sz w:val="21"/>
      <w:szCs w:val="21"/>
    </w:rPr>
  </w:style>
  <w:style w:type="character" w:customStyle="1" w:styleId="26">
    <w:name w:val="批注主题 字符"/>
    <w:link w:val="18"/>
    <w:qFormat/>
    <w:uiPriority w:val="0"/>
    <w:rPr>
      <w:rFonts w:ascii="Calibri" w:hAnsi="Calibri" w:eastAsia="仿宋" w:cs="Times New Roman"/>
      <w:b/>
      <w:bCs/>
      <w:kern w:val="2"/>
      <w:sz w:val="21"/>
      <w:szCs w:val="24"/>
    </w:rPr>
  </w:style>
  <w:style w:type="character" w:customStyle="1" w:styleId="27">
    <w:name w:val="批注文字 字符"/>
    <w:link w:val="10"/>
    <w:qFormat/>
    <w:uiPriority w:val="99"/>
    <w:rPr>
      <w:rFonts w:ascii="Calibri" w:hAnsi="Calibri" w:eastAsia="仿宋" w:cs="Times New Roman"/>
      <w:kern w:val="2"/>
      <w:sz w:val="21"/>
      <w:szCs w:val="24"/>
    </w:rPr>
  </w:style>
  <w:style w:type="character" w:customStyle="1" w:styleId="28">
    <w:name w:val="标题 1 字符"/>
    <w:link w:val="2"/>
    <w:qFormat/>
    <w:uiPriority w:val="0"/>
    <w:rPr>
      <w:rFonts w:ascii="Calibri" w:hAnsi="Calibri" w:eastAsia="仿宋" w:cs="Times New Roman"/>
      <w:b/>
      <w:kern w:val="44"/>
      <w:sz w:val="44"/>
      <w:szCs w:val="24"/>
    </w:rPr>
  </w:style>
  <w:style w:type="character" w:customStyle="1" w:styleId="29">
    <w:name w:val="批注框文本 字符"/>
    <w:link w:val="13"/>
    <w:qFormat/>
    <w:uiPriority w:val="0"/>
    <w:rPr>
      <w:rFonts w:ascii="Calibri" w:hAnsi="Calibri" w:eastAsia="仿宋" w:cs="Times New Roman"/>
      <w:kern w:val="2"/>
      <w:sz w:val="18"/>
      <w:szCs w:val="18"/>
    </w:rPr>
  </w:style>
  <w:style w:type="paragraph" w:customStyle="1" w:styleId="30">
    <w:name w:val="WPSOffice手动目录 2"/>
    <w:qFormat/>
    <w:uiPriority w:val="0"/>
    <w:pPr>
      <w:ind w:left="200" w:leftChars="200"/>
    </w:pPr>
    <w:rPr>
      <w:rFonts w:ascii="Calibri" w:hAnsi="Calibri" w:eastAsia="宋体" w:cs="Calibri"/>
      <w:lang w:val="en-US" w:eastAsia="zh-CN" w:bidi="ar-SA"/>
    </w:rPr>
  </w:style>
  <w:style w:type="paragraph" w:customStyle="1" w:styleId="31">
    <w:name w:val="样式H"/>
    <w:basedOn w:val="2"/>
    <w:next w:val="1"/>
    <w:qFormat/>
    <w:uiPriority w:val="0"/>
    <w:pPr>
      <w:spacing w:before="100" w:line="500" w:lineRule="exact"/>
    </w:pPr>
  </w:style>
  <w:style w:type="paragraph" w:customStyle="1" w:styleId="32">
    <w:name w:val="样式1"/>
    <w:basedOn w:val="1"/>
    <w:qFormat/>
    <w:uiPriority w:val="0"/>
    <w:pPr>
      <w:numPr>
        <w:ilvl w:val="0"/>
        <w:numId w:val="2"/>
      </w:numPr>
      <w:adjustRightInd w:val="0"/>
      <w:textAlignment w:val="baseline"/>
    </w:pPr>
    <w:rPr>
      <w:rFonts w:ascii="宋体" w:hAnsi="宋体"/>
      <w:kern w:val="0"/>
      <w:szCs w:val="21"/>
    </w:rPr>
  </w:style>
  <w:style w:type="paragraph" w:styleId="33">
    <w:name w:val="List Paragraph"/>
    <w:basedOn w:val="1"/>
    <w:qFormat/>
    <w:uiPriority w:val="34"/>
    <w:pPr>
      <w:ind w:firstLine="420" w:firstLineChars="200"/>
    </w:pPr>
  </w:style>
  <w:style w:type="paragraph" w:customStyle="1" w:styleId="34">
    <w:name w:val="样式N"/>
    <w:basedOn w:val="31"/>
    <w:qFormat/>
    <w:uiPriority w:val="0"/>
    <w:rPr>
      <w:sz w:val="30"/>
    </w:rPr>
  </w:style>
  <w:style w:type="paragraph" w:customStyle="1" w:styleId="35">
    <w:name w:val="列出段落11"/>
    <w:basedOn w:val="1"/>
    <w:qFormat/>
    <w:uiPriority w:val="34"/>
    <w:pPr>
      <w:ind w:firstLine="420" w:firstLineChars="200"/>
    </w:pPr>
    <w:rPr>
      <w:rFonts w:ascii="Calibri" w:hAnsi="Calibri" w:eastAsia="宋体" w:cs="Times New Roman"/>
      <w:szCs w:val="22"/>
      <w:lang w:val="zh-CN"/>
    </w:rPr>
  </w:style>
  <w:style w:type="paragraph" w:customStyle="1" w:styleId="36">
    <w:name w:val="WPSOffice手动目录 1"/>
    <w:qFormat/>
    <w:uiPriority w:val="0"/>
    <w:rPr>
      <w:rFonts w:ascii="Times New Roman" w:hAnsi="Times New Roman" w:eastAsia="宋体" w:cs="Calibri"/>
      <w:lang w:val="en-US" w:eastAsia="zh-CN" w:bidi="ar-SA"/>
    </w:rPr>
  </w:style>
  <w:style w:type="paragraph" w:customStyle="1" w:styleId="37">
    <w:name w:val="WPSOffice手动目录 3"/>
    <w:qFormat/>
    <w:uiPriority w:val="0"/>
    <w:pPr>
      <w:ind w:left="400" w:leftChars="400"/>
    </w:pPr>
    <w:rPr>
      <w:rFonts w:ascii="Calibri" w:hAnsi="Calibri" w:eastAsia="宋体" w:cs="Calibri"/>
      <w:lang w:val="en-US" w:eastAsia="zh-CN" w:bidi="ar-SA"/>
    </w:rPr>
  </w:style>
  <w:style w:type="paragraph" w:customStyle="1" w:styleId="38">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character" w:customStyle="1" w:styleId="39">
    <w:name w:val="页脚 字符"/>
    <w:link w:val="14"/>
    <w:qFormat/>
    <w:uiPriority w:val="99"/>
    <w:rPr>
      <w:rFonts w:eastAsia="仿宋"/>
      <w:kern w:val="2"/>
      <w:sz w:val="18"/>
      <w:szCs w:val="24"/>
    </w:rPr>
  </w:style>
  <w:style w:type="character" w:customStyle="1" w:styleId="40">
    <w:name w:val="文档结构图 Char"/>
    <w:link w:val="9"/>
    <w:qFormat/>
    <w:uiPriority w:val="0"/>
    <w:rPr>
      <w:rFonts w:ascii="宋体"/>
      <w:kern w:val="2"/>
      <w:sz w:val="18"/>
      <w:szCs w:val="18"/>
    </w:rPr>
  </w:style>
  <w:style w:type="character" w:customStyle="1" w:styleId="41">
    <w:name w:val="正文文本缩进 Char"/>
    <w:link w:val="11"/>
    <w:qFormat/>
    <w:uiPriority w:val="0"/>
    <w:rPr>
      <w:rFonts w:ascii="宋体" w:hAnsi="Times New Roman" w:cs="Times New Roman"/>
      <w:kern w:val="2"/>
      <w:sz w:val="24"/>
    </w:rPr>
  </w:style>
  <w:style w:type="paragraph" w:customStyle="1" w:styleId="42">
    <w:name w:val="2"/>
    <w:basedOn w:val="1"/>
    <w:qFormat/>
    <w:uiPriority w:val="0"/>
    <w:pPr>
      <w:numPr>
        <w:ilvl w:val="1"/>
        <w:numId w:val="3"/>
      </w:numPr>
      <w:spacing w:line="416" w:lineRule="auto"/>
      <w:ind w:left="567" w:hanging="567"/>
      <w:outlineLvl w:val="1"/>
    </w:pPr>
    <w:rPr>
      <w:rFonts w:ascii="Heiti SC Light" w:hAnsi="Heiti SC Light" w:eastAsia="Songti SC" w:cs="Heiti SC Light"/>
      <w:sz w:val="32"/>
      <w:szCs w:val="40"/>
    </w:rPr>
  </w:style>
  <w:style w:type="paragraph" w:customStyle="1" w:styleId="43">
    <w:name w:val="Normal_1"/>
    <w:next w:val="1"/>
    <w:qFormat/>
    <w:uiPriority w:val="0"/>
    <w:pPr>
      <w:widowControl w:val="0"/>
      <w:jc w:val="both"/>
    </w:pPr>
    <w:rPr>
      <w:rFonts w:ascii="Calibri" w:hAnsi="Calibri" w:eastAsia="仿宋" w:cs="Calibri"/>
      <w:kern w:val="2"/>
      <w:sz w:val="21"/>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xp</Company>
  <Pages>215</Pages>
  <Words>1798</Words>
  <Characters>10255</Characters>
  <Lines>85</Lines>
  <Paragraphs>24</Paragraphs>
  <TotalTime>2</TotalTime>
  <ScaleCrop>false</ScaleCrop>
  <LinksUpToDate>false</LinksUpToDate>
  <CharactersWithSpaces>12029</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2024-08-01T11:12:00Z</dcterms:created>
  <dc:creator>meimei</dc:creator>
  <cp:lastModifiedBy>网站编辑部</cp:lastModifiedBy>
  <cp:lastPrinted>2019-12-27T06:09:00Z</cp:lastPrinted>
  <dcterms:modified xsi:type="dcterms:W3CDTF">2025-06-27T03:13:29Z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