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ind w:left="0" w:firstLine="0"/>
        <w:jc w:val="center"/>
        <w:rPr>
          <w:rFonts w:hint="eastAsia" w:ascii="宋体" w:hAnsi="宋体" w:eastAsia="宋体" w:cs="宋体"/>
          <w:i w:val="0"/>
          <w:caps w:val="0"/>
          <w:color w:val="000000"/>
          <w:spacing w:val="0"/>
          <w:sz w:val="24"/>
          <w:szCs w:val="24"/>
        </w:rPr>
      </w:pPr>
      <w:r>
        <w:rPr>
          <w:rStyle w:val="5"/>
          <w:rFonts w:hint="eastAsia" w:ascii="方正小标宋简体" w:hAnsi="方正小标宋简体" w:eastAsia="方正小标宋简体" w:cs="方正小标宋简体"/>
          <w:b w:val="0"/>
          <w:bCs/>
          <w:i w:val="0"/>
          <w:caps w:val="0"/>
          <w:color w:val="000000"/>
          <w:spacing w:val="0"/>
          <w:sz w:val="36"/>
          <w:szCs w:val="36"/>
          <w:shd w:val="clear" w:fill="FFFFFF"/>
        </w:rPr>
        <w:t>中华人民共和国国务院令</w:t>
      </w:r>
      <w:r>
        <w:rPr>
          <w:rFonts w:hint="eastAsia" w:ascii="宋体" w:hAnsi="宋体" w:eastAsia="宋体" w:cs="宋体"/>
          <w:i w:val="0"/>
          <w:caps w:val="0"/>
          <w:color w:val="000000"/>
          <w:spacing w:val="0"/>
          <w:sz w:val="24"/>
          <w:szCs w:val="24"/>
          <w:shd w:val="clear" w:fill="FFFFFF"/>
        </w:rPr>
        <w:br w:type="textWrapping"/>
      </w:r>
      <w:r>
        <w:rPr>
          <w:rFonts w:ascii="楷体_GB2312" w:hAnsi="宋体" w:eastAsia="楷体_GB2312" w:cs="楷体_GB2312"/>
          <w:i w:val="0"/>
          <w:caps w:val="0"/>
          <w:color w:val="000000"/>
          <w:spacing w:val="0"/>
          <w:sz w:val="24"/>
          <w:szCs w:val="24"/>
          <w:shd w:val="clear" w:fill="FFFFFF"/>
        </w:rPr>
        <w:t>第611号</w:t>
      </w:r>
    </w:p>
    <w:p>
      <w:pPr>
        <w:pStyle w:val="2"/>
        <w:keepNext w:val="0"/>
        <w:keepLines w:val="0"/>
        <w:widowControl/>
        <w:suppressLineNumbers w:val="0"/>
        <w:shd w:val="clear" w:fill="FFFFFF"/>
        <w:ind w:left="0" w:firstLine="0"/>
        <w:rPr>
          <w:rFonts w:hint="eastAsia" w:ascii="方正小标宋简体" w:hAnsi="方正小标宋简体" w:eastAsia="方正小标宋简体" w:cs="方正小标宋简体"/>
          <w:sz w:val="36"/>
          <w:szCs w:val="36"/>
        </w:rPr>
      </w:pPr>
      <w:r>
        <w:rPr>
          <w:rFonts w:hint="eastAsia" w:ascii="宋体" w:hAnsi="宋体" w:eastAsia="宋体" w:cs="宋体"/>
          <w:i w:val="0"/>
          <w:caps w:val="0"/>
          <w:color w:val="000000"/>
          <w:spacing w:val="0"/>
          <w:sz w:val="24"/>
          <w:szCs w:val="24"/>
          <w:shd w:val="clear" w:fill="FFFFFF"/>
        </w:rPr>
        <w:t>　　《中华人民共和国车船税法实施条例》已经2011年11月23日国务院第182</w:t>
      </w:r>
      <w:bookmarkStart w:id="0" w:name="_GoBack"/>
      <w:bookmarkEnd w:id="0"/>
      <w:r>
        <w:rPr>
          <w:rFonts w:hint="eastAsia" w:ascii="宋体" w:hAnsi="宋体" w:eastAsia="宋体" w:cs="宋体"/>
          <w:i w:val="0"/>
          <w:caps w:val="0"/>
          <w:color w:val="000000"/>
          <w:spacing w:val="0"/>
          <w:sz w:val="24"/>
          <w:szCs w:val="24"/>
          <w:shd w:val="clear" w:fill="FFFFFF"/>
        </w:rPr>
        <w:t>次常务会议通过，现予公布，自2012年1月1日起施行。</w:t>
      </w:r>
      <w:r>
        <w:rPr>
          <w:rFonts w:hint="eastAsia" w:ascii="宋体" w:hAnsi="宋体" w:eastAsia="宋体" w:cs="宋体"/>
          <w:i w:val="0"/>
          <w:caps w:val="0"/>
          <w:color w:val="000000"/>
          <w:spacing w:val="0"/>
          <w:sz w:val="24"/>
          <w:szCs w:val="24"/>
          <w:shd w:val="clear" w:fill="FFFFFF"/>
        </w:rPr>
        <w:br w:type="textWrapping"/>
      </w:r>
      <w:r>
        <w:rPr>
          <w:rFonts w:hint="eastAsia" w:ascii="宋体" w:hAnsi="宋体" w:eastAsia="宋体" w:cs="宋体"/>
          <w:i w:val="0"/>
          <w:caps w:val="0"/>
          <w:color w:val="000000"/>
          <w:spacing w:val="0"/>
          <w:sz w:val="24"/>
          <w:szCs w:val="24"/>
          <w:shd w:val="clear" w:fill="FFFFFF"/>
        </w:rPr>
        <w:t>　　　　　　　　　　　　　　　　　　　　　　　 　　总　理 　温家宝</w:t>
      </w:r>
      <w:r>
        <w:rPr>
          <w:rFonts w:hint="eastAsia" w:ascii="宋体" w:hAnsi="宋体" w:eastAsia="宋体" w:cs="宋体"/>
          <w:i w:val="0"/>
          <w:caps w:val="0"/>
          <w:color w:val="000000"/>
          <w:spacing w:val="0"/>
          <w:sz w:val="24"/>
          <w:szCs w:val="24"/>
          <w:shd w:val="clear" w:fill="FFFFFF"/>
        </w:rPr>
        <w:br w:type="textWrapping"/>
      </w:r>
      <w:r>
        <w:rPr>
          <w:rFonts w:hint="eastAsia" w:ascii="宋体" w:hAnsi="宋体" w:eastAsia="宋体" w:cs="宋体"/>
          <w:i w:val="0"/>
          <w:caps w:val="0"/>
          <w:color w:val="000000"/>
          <w:spacing w:val="0"/>
          <w:sz w:val="24"/>
          <w:szCs w:val="24"/>
          <w:shd w:val="clear" w:fill="FFFFFF"/>
        </w:rPr>
        <w:t>　　　　　　　　　　　　　　　　　　　　　　　　二○一一年十二月五日</w:t>
      </w:r>
    </w:p>
    <w:p>
      <w:pPr>
        <w:jc w:val="center"/>
        <w:rPr>
          <w:rFonts w:hint="eastAsia" w:ascii="方正小标宋简体" w:hAnsi="方正小标宋简体" w:eastAsia="方正小标宋简体" w:cs="方正小标宋简体"/>
          <w:sz w:val="36"/>
          <w:szCs w:val="36"/>
        </w:rPr>
      </w:pPr>
    </w:p>
    <w:p>
      <w:pPr>
        <w:keepNext w:val="0"/>
        <w:keepLines w:val="0"/>
        <w:pageBreakBefore w:val="0"/>
        <w:widowControl w:val="0"/>
        <w:kinsoku/>
        <w:wordWrap/>
        <w:overflowPunct/>
        <w:topLinePunct w:val="0"/>
        <w:autoSpaceDE/>
        <w:autoSpaceDN/>
        <w:bidi w:val="0"/>
        <w:adjustRightInd/>
        <w:snapToGrid/>
        <w:ind w:firstLine="720" w:firstLineChars="200"/>
        <w:jc w:val="left"/>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36"/>
          <w:szCs w:val="36"/>
        </w:rPr>
        <w:t>中华人民共和国车船税法实施条例</w:t>
      </w:r>
      <w:r>
        <w:rPr>
          <w:rFonts w:hint="eastAsia" w:ascii="方正小标宋简体" w:hAnsi="方正小标宋简体" w:eastAsia="方正小标宋简体" w:cs="方正小标宋简体"/>
          <w:sz w:val="36"/>
          <w:szCs w:val="36"/>
        </w:rPr>
        <w:br w:type="textWrapping"/>
      </w:r>
      <w:r>
        <w:rPr>
          <w:rFonts w:hint="eastAsia" w:ascii="仿宋_GB2312" w:hAnsi="仿宋_GB2312" w:eastAsia="仿宋_GB2312" w:cs="仿宋_GB2312"/>
          <w:sz w:val="32"/>
          <w:szCs w:val="32"/>
        </w:rPr>
        <w:br w:type="textWrapping"/>
      </w:r>
      <w:r>
        <w:rPr>
          <w:rFonts w:ascii="宋体" w:hAnsi="宋体" w:eastAsia="宋体" w:cs="宋体"/>
          <w:sz w:val="24"/>
          <w:szCs w:val="24"/>
        </w:rPr>
        <w:br w:type="textWrapping"/>
      </w:r>
      <w:r>
        <w:rPr>
          <w:rFonts w:hint="eastAsia" w:ascii="仿宋_GB2312" w:hAnsi="仿宋_GB2312" w:eastAsia="仿宋_GB2312" w:cs="仿宋_GB2312"/>
          <w:sz w:val="32"/>
          <w:szCs w:val="32"/>
        </w:rPr>
        <w:t>　　第一条　根据《中华人民共和国车船税法》（以下简称车船税法）的规定，制定本条例。</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第二条　车船税法第一条所称车辆、船舶，是指：</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（一）依法应当在车船登记管理部门登记的机动车辆和船舶；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（二）依法不需要在车船登记管理部门登记的在单位内部场所行驶或者作业的机动车辆和船舶。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第三条　省、自治区、直辖市人民政府根据车船税法所附《车船税税目税额表》确定车辆具体适用税额，应当遵循以下原则：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（一）乘用车依排气量从小到大递增税额；</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（二）客车按照核定载客人数20人以下和20人（含）以上两档划分，递增税额。</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省、自治区、直辖市人民政府确定的车辆具体适用税额，应当报国务院备案。</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第四条　机动船舶具体适用税额为：</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（一）净吨位不超过200吨的，每吨3元；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（二）净吨位超过200吨但不超过2000吨的，每吨4元；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（三）净吨位超过2000吨但不超过10000吨的，每吨5元；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（四）净吨位超过10000吨的，每吨6元。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拖船按照发动机功率每1千瓦折合净吨位0.67吨计算征收车船税。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第五条　游艇具体适用税额为：</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（一）艇身长度不超过10米的，每米600元；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（二）艇身长度超过10米但不超过18米的，每米900元；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（三）艇身长度超过18米但不超过30米的，每米1300元；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（四）艇身长度超过30米的，每米2000元；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（五）辅助动力帆艇，每米600元。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第六条　车船税法和本条例所涉及的排气量、整备质量、核定载客人数、净吨位、千瓦、艇身长度，以车船登记管理部门核发的车船登记证书或者行驶证所载数据为准。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依法不需要办理登记的车船和依法应当登记而未办理登记或者不能提供车船登记证书、行驶证的车船，以车船出厂合格证明或者进口凭证标注的技术参数、数据为准；不能提供车船出厂合格证明或者进口凭证的，由主管税务机关参照国家相关标准核定，没有国家相关标准的参照同类车船核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第七条　车船税法第三条第一项所称的捕捞、养殖渔船，是指在渔业船舶登记管理部门登记为捕捞船或者养殖船的船舶。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第八条　车船税法第三条第二项所称的军队、武装警察部队专用的车船，是指按照规定在军队、武装警察部队车船登记管理部门登记，并领取军队、武警牌照的车船。</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第九条　车船税法第三条第三项所称的警用车船，是指公安机关、国家安全机关、监狱、劳动教养管理机关和人民法院、人民检察院领取警用牌照的车辆和执行警务的专用船舶。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第十条　节约能源、使用新能源的车船可以免征或者减半征收车船税。免征或者减半征收车船税的车船的范围，由国务院财政、税务主管部门商国务院有关部门制订，报国务院批准。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对受地震、洪涝等严重自然灾害影响纳税困难以及其他特殊原因确需减免税的车船，可以在一定期限内减征或者免征车船税。具体减免期限和数额由省、自治区、直辖市人民政府确定，报国务院备案。</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第十一条　车船税由地方税务机关负责征收。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第十二条　机动车车船税扣缴义务人在代收车船税时，应当在机动车交通事故责任强制保险的保险单以及保费发票上注明已收税款的信息，作为代收税款凭证。</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第十三条　已完税或者依法减免税的车辆，纳税人应当向扣缴义务人提供登记地的主管税务机关出具的完税凭证或者减免税证明。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第十四条　纳税人没有按照规定期限缴纳车船税的，扣缴义务人在代收代缴税款时，可以一并代收代缴欠缴税款的滞纳金。</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第十五条　扣缴义务人已代收代缴车船税的，纳税人不再向车辆登记地的主管税务机关申报缴纳车船税。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没有扣缴义务人的，纳税人应当向主管税务机关自行申报缴纳车船税。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第十六条　纳税人缴纳车船税时，应当提供反映排气量、整备质量、核定载客人数、净吨位、千瓦、艇身长度等与纳税相关信息的相应凭证以及税务机关根据实际需要要求提供的其他资料。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纳税人以前年度已经提供前款所列资料信息的，可以不再提供。</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第十七条　车辆车船税的纳税人按照纳税地点所在的省、自治区、直辖市人民政府确定的具体适用税额缴纳车船税。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第十八条　扣缴义务人应当及时解缴代收代缴的税款和滞纳金，并向主管税务机关申报。扣缴义务人向税务机关解缴税款和滞纳金时，应当同时报送明细的税款和滞纳金扣缴报告。扣缴义务人解缴税款和滞纳金的具体期限，由省、自治区、直辖市地方税务机关依照法律、行政法规的规定确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第十九条　购置的新车船，购置当年的应纳税额自纳税义务发生的当月起按月计算。应纳税额为年应纳税额除以12再乘以应纳税月份数。</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在一个纳税年度内，已完税的车船被盗抢、报废、灭失的，纳税人可以凭有关管理机关出具的证明和完税凭证，向纳税所在地的主管税务机关申请退还自被盗抢、报废、灭失月份起至该纳税年度终了期间的税款。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已办理退税的被盗抢车船失而复得的，纳税人应当从公安机关出具相关证明的当月起计算缴纳车船税。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第二十条　已缴纳车船税的车船在同一纳税年度内办理转让过户的，不另纳税，也不退税。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第二十一条　车船税法第八条所称取得车船所有权或者管理权的当月，应当以购买车船的发票或者其他证明文件所载日期的当月为准。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第二十二条　税务机关可以在车船登记管理部门、车船检验机构的办公场所集中办理车船税征收事宜。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公安机关交通管理部门在办理车辆相关登记和定期检验手续时，经核查，对没有提供依法纳税或者免税证明的，不予办理相关手续。</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第二十三条　车船税按年申报，分月计算，一次性缴纳。纳税年度为公历1月1日至12月31日。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第二十四条　临时入境的外国车船和香港特别行政区、澳门特别行政区、台湾地区的车船，不征收车船税。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第二十五条　按照规定缴纳船舶吨税的机动船舶，自车船税法实施之日起5年内免征车船税。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依法不需要在车船登记管理部门登记的机场、港口、铁路站场内部行驶或者作业的车船，自车船税法实施之日起5年内免征车船税。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第二十六条　车船税法所附《车船税税目税额表》中车辆、船舶的含义如下：</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乘用车，是指在设计和技术特性上主要用于载运乘客及随身行李，核定载客人数包括驾驶员在内不超过9人的汽车。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商用车，是指除乘用车外，在设计和技术特性上用于载运乘客、货物的汽车，划分为客车和货车。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半挂牵引车，是指装备有特殊装置用于牵引半挂车的商用车。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三轮汽车，是指最高设计车速不超过每小时50公里，具有三个车轮的货车。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低速载货汽车，是指以柴油机为动力，最高设计车速不超过每小时70公里，具有四个车轮的货车。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挂车，是指就其设计和技术特性需由汽车或者拖拉机牵引，才能正常使用的一种无动力的道路车辆。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专用作业车，是指在其设计和技术特性上用于特殊工作的车辆。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轮式专用机械车，是指有特殊结构和专门功能，装有橡胶车轮可以自行行驶，最高设计车速大于每小时20公里的轮式工程机械车。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摩托车，是指无论采用何种驱动方式，最高设计车速大于每小时50公里，或者使用内燃机，其排量大于50毫升的两轮或者三轮车辆。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船舶，是指各类机动、非机动船舶以及其他水上移动装置，但是船舶上装备的救生艇筏和长度小于5米的艇筏除外。其中，机动船舶是指用机器推进的船舶；拖船是指专门用于拖（推）动运输船舶的专业作业船舶；非机动驳船，是指在船舶登记管理部门登记为驳船的非机动船舶；游艇是指具备内置机械推进动力装置，长度在90米以下，主要用于游览观光、休闲娱乐、水上体育运动等活动，并应当具有船舶检验证书和适航证书的船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第二十七条　本条例自2012年1月1日起施行。</w:t>
      </w:r>
    </w:p>
    <w:p>
      <w:pPr>
        <w:keepNext w:val="0"/>
        <w:keepLines w:val="0"/>
        <w:pageBreakBefore w:val="0"/>
        <w:widowControl w:val="0"/>
        <w:kinsoku/>
        <w:wordWrap/>
        <w:overflowPunct/>
        <w:topLinePunct w:val="0"/>
        <w:autoSpaceDE/>
        <w:autoSpaceDN/>
        <w:bidi w:val="0"/>
        <w:adjustRightInd/>
        <w:snapToGrid/>
        <w:ind w:firstLine="480" w:firstLineChars="200"/>
        <w:jc w:val="left"/>
        <w:textAlignment w:val="auto"/>
        <w:rPr>
          <w:rFonts w:hint="eastAsia" w:ascii="楷体_GB2312" w:hAnsi="宋体" w:eastAsia="楷体_GB2312" w:cs="楷体_GB2312"/>
          <w:i w:val="0"/>
          <w:caps w:val="0"/>
          <w:color w:val="000000"/>
          <w:spacing w:val="0"/>
          <w:sz w:val="24"/>
          <w:szCs w:val="24"/>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MT Extra"/>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E0000AFF" w:usb1="40007843" w:usb2="00000001" w:usb3="00000000" w:csb0="400001BF" w:csb1="DFF70000"/>
  </w:font>
  <w:font w:name="Symbol">
    <w:altName w:val="Segoe UI 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MT Extra">
    <w:panose1 w:val="05050102010205020202"/>
    <w:charset w:val="00"/>
    <w:family w:val="auto"/>
    <w:pitch w:val="default"/>
    <w:sig w:usb0="80000000" w:usb1="00000000" w:usb2="00000000" w:usb3="00000000" w:csb0="00000000" w:csb1="00000000"/>
  </w:font>
  <w:font w:name="Segoe UI Symbol">
    <w:panose1 w:val="020B0502040204020203"/>
    <w:charset w:val="00"/>
    <w:family w:val="auto"/>
    <w:pitch w:val="default"/>
    <w:sig w:usb0="8000006F" w:usb1="1200FBEF" w:usb2="0064C000" w:usb3="00000002" w:csb0="00000001" w:csb1="40000000"/>
  </w:font>
  <w:font w:name="Segoe UI">
    <w:panose1 w:val="020B0502040204020203"/>
    <w:charset w:val="00"/>
    <w:family w:val="auto"/>
    <w:pitch w:val="default"/>
    <w:sig w:usb0="E10022FF" w:usb1="C000E47F" w:usb2="00000029" w:usb3="00000000" w:csb0="200001DF" w:csb1="2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3A12F1"/>
    <w:rsid w:val="219C7FB1"/>
    <w:rsid w:val="22CE4C10"/>
    <w:rsid w:val="323169AF"/>
    <w:rsid w:val="4670206A"/>
    <w:rsid w:val="4B3A12F1"/>
    <w:rsid w:val="6C496C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2019-11-09T00:49:00Z</dcterms:created>
  <dc:creator>小l</dc:creator>
  <cp:lastModifiedBy>东北大茧</cp:lastModifiedBy>
  <dcterms:modified xsi:type="dcterms:W3CDTF">2019-11-09T02:38:13Z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