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color w:val="000000"/>
          <w:kern w:val="0"/>
          <w:sz w:val="44"/>
          <w:szCs w:val="44"/>
          <w:lang w:bidi="ar"/>
        </w:rPr>
      </w:pPr>
      <w:r>
        <w:rPr>
          <w:rFonts w:hint="eastAsia" w:ascii="楷体" w:hAnsi="楷体" w:eastAsia="楷体" w:cs="楷体"/>
          <w:b/>
          <w:color w:val="000000"/>
          <w:kern w:val="0"/>
          <w:sz w:val="44"/>
          <w:szCs w:val="44"/>
          <w:lang w:bidi="ar"/>
        </w:rPr>
        <w:t>业务操作指引（</w:t>
      </w:r>
      <w:r>
        <w:rPr>
          <w:rFonts w:hint="eastAsia" w:ascii="楷体" w:hAnsi="楷体" w:eastAsia="楷体" w:cs="楷体"/>
          <w:b/>
          <w:color w:val="000000"/>
          <w:kern w:val="0"/>
          <w:sz w:val="44"/>
          <w:szCs w:val="44"/>
          <w:lang w:eastAsia="zh-CN" w:bidi="ar"/>
        </w:rPr>
        <w:t>辽宁</w:t>
      </w:r>
      <w:bookmarkStart w:id="0" w:name="_GoBack"/>
      <w:bookmarkEnd w:id="0"/>
      <w:r>
        <w:rPr>
          <w:rFonts w:hint="eastAsia" w:ascii="楷体" w:hAnsi="楷体" w:eastAsia="楷体" w:cs="楷体"/>
          <w:b/>
          <w:color w:val="000000"/>
          <w:kern w:val="0"/>
          <w:sz w:val="44"/>
          <w:szCs w:val="44"/>
          <w:lang w:bidi="ar"/>
        </w:rPr>
        <w:t>试点版)</w:t>
      </w:r>
    </w:p>
    <w:p>
      <w:pPr>
        <w:jc w:val="center"/>
        <w:rPr>
          <w:rFonts w:ascii="楷体" w:hAnsi="楷体" w:eastAsia="楷体" w:cs="楷体"/>
          <w:b/>
          <w:color w:val="000000"/>
          <w:kern w:val="0"/>
          <w:sz w:val="44"/>
          <w:szCs w:val="44"/>
          <w:lang w:bidi="ar"/>
        </w:rPr>
      </w:pPr>
      <w:r>
        <w:rPr>
          <w:rFonts w:hint="eastAsia" w:ascii="楷体" w:hAnsi="楷体" w:eastAsia="楷体" w:cs="楷体"/>
          <w:b/>
          <w:color w:val="000000"/>
          <w:kern w:val="0"/>
          <w:sz w:val="44"/>
          <w:szCs w:val="44"/>
          <w:lang w:bidi="ar"/>
        </w:rPr>
        <w:t>2</w:t>
      </w:r>
      <w:r>
        <w:rPr>
          <w:rFonts w:ascii="楷体" w:hAnsi="楷体" w:eastAsia="楷体" w:cs="楷体"/>
          <w:b/>
          <w:color w:val="000000"/>
          <w:kern w:val="0"/>
          <w:sz w:val="44"/>
          <w:szCs w:val="44"/>
          <w:lang w:bidi="ar"/>
        </w:rPr>
        <w:t>0150</w:t>
      </w:r>
      <w:r>
        <w:rPr>
          <w:rFonts w:hint="eastAsia" w:ascii="楷体" w:hAnsi="楷体" w:eastAsia="楷体" w:cs="楷体"/>
          <w:b/>
          <w:color w:val="000000"/>
          <w:kern w:val="0"/>
          <w:sz w:val="44"/>
          <w:szCs w:val="44"/>
          <w:lang w:bidi="ar"/>
        </w:rPr>
        <w:t>开具中央非税收入统一票据</w:t>
      </w:r>
    </w:p>
    <w:p>
      <w:pPr>
        <w:pStyle w:val="2"/>
        <w:numPr>
          <w:ilvl w:val="0"/>
          <w:numId w:val="1"/>
        </w:numPr>
        <w:rPr>
          <w:sz w:val="32"/>
          <w:szCs w:val="32"/>
        </w:rPr>
      </w:pPr>
      <w:r>
        <w:rPr>
          <w:sz w:val="32"/>
          <w:szCs w:val="32"/>
        </w:rPr>
        <w:t xml:space="preserve">业务概述 </w:t>
      </w:r>
    </w:p>
    <w:p>
      <w:pPr>
        <w:ind w:firstLine="640" w:firstLineChars="200"/>
        <w:jc w:val="left"/>
        <w:rPr>
          <w:rFonts w:ascii="华文仿宋" w:hAnsi="华文仿宋" w:eastAsia="华文仿宋" w:cs="宋体"/>
          <w:sz w:val="32"/>
          <w:szCs w:val="32"/>
        </w:rPr>
      </w:pPr>
      <w:r>
        <w:rPr>
          <w:rFonts w:hint="eastAsia" w:ascii="华文仿宋" w:hAnsi="华文仿宋" w:eastAsia="华文仿宋" w:cs="宋体"/>
          <w:sz w:val="32"/>
          <w:szCs w:val="32"/>
        </w:rPr>
        <w:t xml:space="preserve">缴费人以实时扣款、批量扣款、银行端查询缴款等电子方式缴纳国家重大水利工程建设基金等财政部专员办划转非税收入项目（以下简称“专员办划转项目”），扣款成功后，核心征管系统完成《税收电子缴款书》上解销号，可开具《中央非税收入统一票据》。如缴费人丢失税票等原因要求税务机关再次打印，电子税务局提供补开功能。   </w:t>
      </w:r>
    </w:p>
    <w:p>
      <w:pPr>
        <w:ind w:firstLine="640" w:firstLineChars="200"/>
        <w:rPr>
          <w:rFonts w:ascii="华文仿宋" w:hAnsi="华文仿宋" w:eastAsia="华文仿宋" w:cs="宋体"/>
          <w:sz w:val="32"/>
          <w:szCs w:val="32"/>
        </w:rPr>
      </w:pPr>
      <w:r>
        <w:rPr>
          <w:rFonts w:hint="eastAsia" w:ascii="华文仿宋" w:hAnsi="华文仿宋" w:eastAsia="华文仿宋" w:cs="宋体"/>
          <w:sz w:val="32"/>
          <w:szCs w:val="32"/>
        </w:rPr>
        <w:t>涉及主管业务部门核定的8项非税收入：矿产资源专项收入、海域使用金、无居民海岛使用金、水土保持补偿费、排污权出让收入、防空地下室易地建设费、土地闲置费和国有土地使用权出让收入，允许核定主管部门以第三方身份登录电子税务局，对本部门核定推送的已申报缴款完成的数据，可下载纳税人已开具的《中央非税收入统一票据》。</w:t>
      </w:r>
    </w:p>
    <w:p>
      <w:pPr>
        <w:pStyle w:val="2"/>
        <w:numPr>
          <w:ilvl w:val="0"/>
          <w:numId w:val="1"/>
        </w:numPr>
        <w:rPr>
          <w:sz w:val="32"/>
          <w:szCs w:val="32"/>
        </w:rPr>
      </w:pPr>
      <w:r>
        <w:rPr>
          <w:rFonts w:hint="eastAsia"/>
          <w:sz w:val="32"/>
          <w:szCs w:val="32"/>
        </w:rPr>
        <w:t>办理流程</w:t>
      </w:r>
    </w:p>
    <w:p>
      <w:pPr>
        <w:ind w:firstLine="640" w:firstLineChars="200"/>
        <w:jc w:val="left"/>
        <w:rPr>
          <w:rFonts w:ascii="华文仿宋" w:hAnsi="华文仿宋" w:eastAsia="华文仿宋"/>
          <w:sz w:val="32"/>
          <w:szCs w:val="32"/>
        </w:rPr>
      </w:pPr>
      <w:r>
        <w:rPr>
          <w:rFonts w:hint="eastAsia" w:ascii="华文仿宋" w:hAnsi="华文仿宋" w:eastAsia="华文仿宋"/>
          <w:sz w:val="32"/>
          <w:szCs w:val="32"/>
        </w:rPr>
        <w:t>即时办结。</w:t>
      </w:r>
    </w:p>
    <w:p>
      <w:pPr>
        <w:pStyle w:val="2"/>
        <w:numPr>
          <w:ilvl w:val="0"/>
          <w:numId w:val="1"/>
        </w:numPr>
        <w:rPr>
          <w:sz w:val="32"/>
          <w:szCs w:val="32"/>
        </w:rPr>
      </w:pPr>
      <w:r>
        <w:rPr>
          <w:rFonts w:hint="eastAsia"/>
          <w:sz w:val="32"/>
          <w:szCs w:val="32"/>
        </w:rPr>
        <w:t>关联场景</w:t>
      </w:r>
    </w:p>
    <w:tbl>
      <w:tblPr>
        <w:tblStyle w:val="5"/>
        <w:tblW w:w="5000" w:type="pct"/>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1093"/>
        <w:gridCol w:w="1355"/>
        <w:gridCol w:w="1526"/>
        <w:gridCol w:w="4548"/>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641" w:type="pct"/>
            <w:shd w:val="clear" w:color="auto" w:fill="D7D7D7" w:themeFill="background1" w:themeFillShade="D8"/>
            <w:vAlign w:val="center"/>
          </w:tcPr>
          <w:p>
            <w:pPr>
              <w:pStyle w:val="20"/>
              <w:spacing w:before="326" w:after="326"/>
              <w:rPr>
                <w:rFonts w:ascii="宋体" w:hAnsi="宋体" w:cs="宋体"/>
                <w:b w:val="0"/>
                <w:bCs/>
                <w:sz w:val="21"/>
                <w:szCs w:val="21"/>
              </w:rPr>
            </w:pPr>
            <w:r>
              <w:rPr>
                <w:rFonts w:hint="eastAsia" w:ascii="宋体" w:hAnsi="宋体" w:cs="宋体"/>
                <w:b w:val="0"/>
                <w:bCs/>
                <w:sz w:val="21"/>
                <w:szCs w:val="21"/>
              </w:rPr>
              <w:t>场景编号</w:t>
            </w:r>
          </w:p>
        </w:tc>
        <w:tc>
          <w:tcPr>
            <w:tcW w:w="795" w:type="pct"/>
            <w:shd w:val="clear" w:color="auto" w:fill="D7D7D7" w:themeFill="background1" w:themeFillShade="D8"/>
            <w:vAlign w:val="center"/>
          </w:tcPr>
          <w:p>
            <w:pPr>
              <w:pStyle w:val="20"/>
              <w:spacing w:before="326" w:after="326"/>
              <w:rPr>
                <w:rFonts w:ascii="宋体" w:hAnsi="宋体" w:cs="宋体"/>
                <w:b w:val="0"/>
                <w:bCs/>
                <w:sz w:val="21"/>
                <w:szCs w:val="21"/>
              </w:rPr>
            </w:pPr>
            <w:r>
              <w:rPr>
                <w:rFonts w:hint="eastAsia" w:ascii="宋体" w:hAnsi="宋体" w:cs="宋体"/>
                <w:b w:val="0"/>
                <w:bCs/>
                <w:sz w:val="21"/>
                <w:szCs w:val="21"/>
              </w:rPr>
              <w:t>场景顺序</w:t>
            </w:r>
          </w:p>
        </w:tc>
        <w:tc>
          <w:tcPr>
            <w:tcW w:w="895" w:type="pct"/>
            <w:shd w:val="clear" w:color="auto" w:fill="D7D7D7" w:themeFill="background1" w:themeFillShade="D8"/>
            <w:vAlign w:val="center"/>
          </w:tcPr>
          <w:p>
            <w:pPr>
              <w:pStyle w:val="20"/>
              <w:spacing w:before="326" w:after="326"/>
              <w:rPr>
                <w:rFonts w:ascii="宋体" w:hAnsi="宋体" w:cs="宋体"/>
                <w:b w:val="0"/>
                <w:bCs/>
                <w:sz w:val="21"/>
                <w:szCs w:val="21"/>
              </w:rPr>
            </w:pPr>
            <w:r>
              <w:rPr>
                <w:rFonts w:hint="eastAsia" w:ascii="宋体" w:hAnsi="宋体" w:cs="宋体"/>
                <w:b w:val="0"/>
                <w:bCs/>
                <w:sz w:val="21"/>
                <w:szCs w:val="21"/>
              </w:rPr>
              <w:t>场景名称</w:t>
            </w:r>
          </w:p>
        </w:tc>
        <w:tc>
          <w:tcPr>
            <w:tcW w:w="2667" w:type="pct"/>
            <w:shd w:val="clear" w:color="auto" w:fill="D7D7D7" w:themeFill="background1" w:themeFillShade="D8"/>
            <w:vAlign w:val="center"/>
          </w:tcPr>
          <w:p>
            <w:pPr>
              <w:pStyle w:val="20"/>
              <w:spacing w:before="326" w:after="326"/>
              <w:rPr>
                <w:rFonts w:ascii="宋体" w:hAnsi="宋体" w:cs="宋体"/>
                <w:b w:val="0"/>
                <w:bCs/>
                <w:sz w:val="21"/>
                <w:szCs w:val="21"/>
              </w:rPr>
            </w:pPr>
            <w:r>
              <w:rPr>
                <w:rFonts w:hint="eastAsia" w:ascii="宋体" w:hAnsi="宋体" w:cs="宋体"/>
                <w:b w:val="0"/>
                <w:bCs/>
                <w:sz w:val="21"/>
                <w:szCs w:val="21"/>
              </w:rPr>
              <w:t>关联关系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89" w:hRule="atLeast"/>
        </w:trPr>
        <w:tc>
          <w:tcPr>
            <w:tcW w:w="641" w:type="pct"/>
            <w:shd w:val="clear" w:color="auto" w:fill="auto"/>
            <w:vAlign w:val="center"/>
          </w:tcPr>
          <w:p>
            <w:pPr>
              <w:pStyle w:val="18"/>
              <w:rPr>
                <w:rFonts w:ascii="宋体" w:hAnsi="宋体"/>
                <w:szCs w:val="21"/>
              </w:rPr>
            </w:pPr>
            <w:r>
              <w:rPr>
                <w:rFonts w:ascii="宋体" w:hAnsi="宋体"/>
                <w:szCs w:val="21"/>
              </w:rPr>
              <w:t>1</w:t>
            </w:r>
          </w:p>
        </w:tc>
        <w:tc>
          <w:tcPr>
            <w:tcW w:w="795" w:type="pct"/>
            <w:shd w:val="clear" w:color="auto" w:fill="auto"/>
            <w:vAlign w:val="center"/>
          </w:tcPr>
          <w:p>
            <w:pPr>
              <w:pStyle w:val="18"/>
              <w:rPr>
                <w:rFonts w:ascii="宋体" w:hAnsi="宋体"/>
                <w:szCs w:val="21"/>
              </w:rPr>
            </w:pPr>
            <w:r>
              <w:rPr>
                <w:rFonts w:hint="eastAsia" w:ascii="宋体" w:hAnsi="宋体"/>
                <w:szCs w:val="21"/>
              </w:rPr>
              <w:t>前序场景</w:t>
            </w:r>
          </w:p>
        </w:tc>
        <w:tc>
          <w:tcPr>
            <w:tcW w:w="895" w:type="pct"/>
            <w:shd w:val="clear" w:color="auto" w:fill="auto"/>
            <w:vAlign w:val="center"/>
          </w:tcPr>
          <w:p>
            <w:pPr>
              <w:pStyle w:val="16"/>
              <w:jc w:val="center"/>
              <w:rPr>
                <w:rFonts w:ascii="宋体" w:hAnsi="宋体" w:cs="宋体"/>
                <w:kern w:val="2"/>
                <w:sz w:val="21"/>
                <w:szCs w:val="21"/>
              </w:rPr>
            </w:pPr>
            <w:r>
              <w:rPr>
                <w:rFonts w:hint="eastAsia" w:ascii="宋体" w:hAnsi="宋体" w:cs="宋体"/>
                <w:kern w:val="2"/>
                <w:sz w:val="21"/>
                <w:szCs w:val="21"/>
              </w:rPr>
              <w:t>税费缴纳</w:t>
            </w:r>
          </w:p>
        </w:tc>
        <w:tc>
          <w:tcPr>
            <w:tcW w:w="2667" w:type="pct"/>
            <w:shd w:val="clear" w:color="auto" w:fill="auto"/>
            <w:vAlign w:val="center"/>
          </w:tcPr>
          <w:p>
            <w:pPr>
              <w:pStyle w:val="16"/>
              <w:jc w:val="center"/>
              <w:rPr>
                <w:rFonts w:ascii="宋体" w:hAnsi="宋体" w:cs="宋体"/>
                <w:kern w:val="2"/>
                <w:sz w:val="21"/>
                <w:szCs w:val="21"/>
              </w:rPr>
            </w:pPr>
            <w:r>
              <w:rPr>
                <w:rFonts w:hint="eastAsia" w:ascii="宋体" w:hAnsi="宋体" w:cs="宋体"/>
                <w:kern w:val="2"/>
                <w:sz w:val="21"/>
                <w:szCs w:val="21"/>
              </w:rPr>
              <w:t>纳税人缴纳非税收入税款</w:t>
            </w:r>
          </w:p>
        </w:tc>
      </w:tr>
    </w:tbl>
    <w:p>
      <w:pPr>
        <w:pStyle w:val="2"/>
        <w:numPr>
          <w:ilvl w:val="0"/>
          <w:numId w:val="1"/>
        </w:numPr>
        <w:rPr>
          <w:sz w:val="32"/>
          <w:szCs w:val="32"/>
        </w:rPr>
      </w:pPr>
      <w:r>
        <w:rPr>
          <w:rFonts w:hint="eastAsia"/>
          <w:sz w:val="32"/>
          <w:szCs w:val="32"/>
        </w:rPr>
        <w:t>功能路径</w:t>
      </w:r>
    </w:p>
    <w:p>
      <w:pPr>
        <w:pStyle w:val="11"/>
        <w:numPr>
          <w:ilvl w:val="0"/>
          <w:numId w:val="2"/>
        </w:numPr>
        <w:ind w:firstLineChars="0"/>
        <w:rPr>
          <w:rFonts w:ascii="华文仿宋" w:hAnsi="华文仿宋" w:eastAsia="华文仿宋" w:cs="华文仿宋"/>
          <w:bCs/>
          <w:sz w:val="32"/>
          <w:szCs w:val="32"/>
        </w:rPr>
      </w:pPr>
      <w:r>
        <w:rPr>
          <w:rFonts w:hint="eastAsia" w:ascii="华文仿宋" w:hAnsi="华文仿宋" w:eastAsia="华文仿宋" w:cs="华文仿宋"/>
          <w:bCs/>
          <w:sz w:val="32"/>
          <w:szCs w:val="32"/>
        </w:rPr>
        <w:t>我要办税-证明开具-</w:t>
      </w:r>
      <w:r>
        <w:rPr>
          <w:rFonts w:ascii="华文仿宋" w:hAnsi="华文仿宋" w:eastAsia="华文仿宋"/>
          <w:sz w:val="32"/>
          <w:szCs w:val="32"/>
        </w:rPr>
        <w:t>开具中央非税收入统一票据</w:t>
      </w:r>
      <w:r>
        <w:rPr>
          <w:rFonts w:hint="eastAsia" w:ascii="华文仿宋" w:hAnsi="华文仿宋" w:eastAsia="华文仿宋" w:cs="华文仿宋"/>
          <w:bCs/>
          <w:sz w:val="32"/>
          <w:szCs w:val="32"/>
        </w:rPr>
        <w:t>-</w:t>
      </w:r>
      <w:r>
        <w:rPr>
          <w:rFonts w:ascii="华文仿宋" w:hAnsi="华文仿宋" w:eastAsia="华文仿宋"/>
          <w:sz w:val="32"/>
          <w:szCs w:val="32"/>
        </w:rPr>
        <w:t>开具中央非税收入统一票据</w:t>
      </w:r>
      <w:r>
        <w:rPr>
          <w:rFonts w:hint="eastAsia" w:ascii="华文仿宋" w:hAnsi="华文仿宋" w:eastAsia="华文仿宋"/>
          <w:sz w:val="32"/>
          <w:szCs w:val="32"/>
        </w:rPr>
        <w:t>。</w:t>
      </w:r>
    </w:p>
    <w:p>
      <w:pPr>
        <w:pStyle w:val="11"/>
        <w:numPr>
          <w:ilvl w:val="0"/>
          <w:numId w:val="2"/>
        </w:numPr>
        <w:ind w:firstLineChars="0"/>
        <w:rPr>
          <w:rFonts w:ascii="华文仿宋" w:hAnsi="华文仿宋" w:eastAsia="华文仿宋" w:cs="华文仿宋"/>
          <w:bCs/>
          <w:sz w:val="32"/>
          <w:szCs w:val="32"/>
        </w:rPr>
      </w:pPr>
      <w:r>
        <w:rPr>
          <w:rFonts w:hint="eastAsia" w:ascii="华文仿宋" w:hAnsi="华文仿宋" w:eastAsia="华文仿宋"/>
          <w:color w:val="000000" w:themeColor="text1"/>
          <w:sz w:val="32"/>
          <w:szCs w:val="32"/>
          <w14:textFill>
            <w14:solidFill>
              <w14:schemeClr w14:val="tx1"/>
            </w14:solidFill>
          </w14:textFill>
        </w:rPr>
        <w:t>纳税人通过缴款成功后的推荐办理或</w:t>
      </w:r>
      <w:r>
        <w:rPr>
          <w:rFonts w:hint="eastAsia" w:ascii="华文仿宋" w:hAnsi="华文仿宋" w:eastAsia="华文仿宋"/>
          <w:color w:val="000000" w:themeColor="text1"/>
          <w:sz w:val="32"/>
          <w:szCs w:val="32"/>
          <w:lang w:eastAsia="zh-Hans"/>
          <w14:textFill>
            <w14:solidFill>
              <w14:schemeClr w14:val="tx1"/>
            </w14:solidFill>
          </w14:textFill>
        </w:rPr>
        <w:t>消息提醒的办理入口进入。</w:t>
      </w:r>
    </w:p>
    <w:p>
      <w:pPr>
        <w:pStyle w:val="11"/>
        <w:numPr>
          <w:ilvl w:val="0"/>
          <w:numId w:val="2"/>
        </w:numPr>
        <w:ind w:firstLineChars="0"/>
        <w:rPr>
          <w:rFonts w:ascii="华文仿宋" w:hAnsi="华文仿宋" w:eastAsia="华文仿宋" w:cs="华文仿宋"/>
          <w:bCs/>
          <w:sz w:val="32"/>
          <w:szCs w:val="32"/>
        </w:rPr>
      </w:pPr>
      <w:r>
        <w:rPr>
          <w:rFonts w:hint="eastAsia" w:ascii="华文仿宋" w:hAnsi="华文仿宋" w:eastAsia="华文仿宋" w:cs="华文仿宋"/>
          <w:bCs/>
          <w:sz w:val="32"/>
          <w:szCs w:val="32"/>
          <w:shd w:val="clear" w:color="auto" w:fill="FFFFFF"/>
        </w:rPr>
        <w:t>最近使用：</w:t>
      </w:r>
      <w:r>
        <w:rPr>
          <w:rFonts w:ascii="华文仿宋" w:hAnsi="华文仿宋" w:eastAsia="华文仿宋"/>
          <w:sz w:val="32"/>
          <w:szCs w:val="32"/>
        </w:rPr>
        <w:t>开具中央非税收入统一票据</w:t>
      </w:r>
      <w:r>
        <w:rPr>
          <w:rFonts w:hint="eastAsia" w:ascii="华文仿宋" w:hAnsi="华文仿宋" w:eastAsia="华文仿宋" w:cs="华文仿宋"/>
          <w:bCs/>
          <w:sz w:val="32"/>
          <w:szCs w:val="32"/>
        </w:rPr>
        <w:t>。</w:t>
      </w:r>
    </w:p>
    <w:p>
      <w:pPr>
        <w:pStyle w:val="11"/>
        <w:numPr>
          <w:ilvl w:val="0"/>
          <w:numId w:val="2"/>
        </w:numPr>
        <w:ind w:firstLineChars="0"/>
        <w:rPr>
          <w:rFonts w:ascii="华文仿宋" w:hAnsi="华文仿宋" w:eastAsia="华文仿宋" w:cs="华文仿宋"/>
          <w:bCs/>
          <w:sz w:val="32"/>
          <w:szCs w:val="32"/>
          <w:shd w:val="clear" w:color="auto" w:fill="FFFFFF"/>
        </w:rPr>
      </w:pPr>
      <w:r>
        <w:rPr>
          <w:rFonts w:hint="eastAsia" w:ascii="华文仿宋" w:hAnsi="华文仿宋" w:eastAsia="华文仿宋" w:cs="华文仿宋"/>
          <w:bCs/>
          <w:sz w:val="32"/>
          <w:szCs w:val="32"/>
        </w:rPr>
        <w:t>通过首页搜索栏输入关键字查找。</w:t>
      </w:r>
    </w:p>
    <w:p>
      <w:pPr>
        <w:pStyle w:val="2"/>
        <w:numPr>
          <w:ilvl w:val="0"/>
          <w:numId w:val="1"/>
        </w:numPr>
        <w:rPr>
          <w:sz w:val="32"/>
          <w:szCs w:val="32"/>
        </w:rPr>
      </w:pPr>
      <w:r>
        <w:rPr>
          <w:rFonts w:hint="eastAsia"/>
          <w:sz w:val="32"/>
          <w:szCs w:val="32"/>
        </w:rPr>
        <w:t>操作步骤</w:t>
      </w:r>
    </w:p>
    <w:p>
      <w:pPr>
        <w:pStyle w:val="11"/>
        <w:numPr>
          <w:ilvl w:val="0"/>
          <w:numId w:val="3"/>
        </w:numPr>
        <w:ind w:firstLineChars="0"/>
        <w:rPr>
          <w:rFonts w:ascii="华文仿宋" w:hAnsi="华文仿宋" w:eastAsia="华文仿宋" w:cs="华文仿宋"/>
          <w:sz w:val="32"/>
          <w:szCs w:val="32"/>
        </w:rPr>
      </w:pPr>
      <w:r>
        <w:rPr>
          <w:rFonts w:hint="eastAsia" w:ascii="华文仿宋" w:hAnsi="华文仿宋" w:eastAsia="华文仿宋" w:cs="华文仿宋"/>
          <w:sz w:val="32"/>
          <w:szCs w:val="32"/>
        </w:rPr>
        <w:t>登录新电子税务后，点击【我要办税】-【证明开具】-【</w:t>
      </w:r>
      <w:r>
        <w:rPr>
          <w:rFonts w:ascii="华文仿宋" w:hAnsi="华文仿宋" w:eastAsia="华文仿宋"/>
          <w:sz w:val="32"/>
          <w:szCs w:val="32"/>
        </w:rPr>
        <w:t>开具中央非税收入统一票据</w:t>
      </w:r>
      <w:r>
        <w:rPr>
          <w:rFonts w:hint="eastAsia" w:ascii="华文仿宋" w:hAnsi="华文仿宋" w:eastAsia="华文仿宋" w:cs="华文仿宋"/>
          <w:sz w:val="32"/>
          <w:szCs w:val="32"/>
        </w:rPr>
        <w:t>】-【</w:t>
      </w:r>
      <w:r>
        <w:rPr>
          <w:rFonts w:ascii="华文仿宋" w:hAnsi="华文仿宋" w:eastAsia="华文仿宋"/>
          <w:sz w:val="32"/>
          <w:szCs w:val="32"/>
        </w:rPr>
        <w:t>开具中央非税收入统一票据</w:t>
      </w:r>
      <w:r>
        <w:rPr>
          <w:rFonts w:hint="eastAsia" w:ascii="华文仿宋" w:hAnsi="华文仿宋" w:eastAsia="华文仿宋" w:cs="华文仿宋"/>
          <w:sz w:val="32"/>
          <w:szCs w:val="32"/>
        </w:rPr>
        <w:t>】功能菜单进入功能。</w:t>
      </w:r>
    </w:p>
    <w:p>
      <w:pPr>
        <w:rPr>
          <w:rFonts w:ascii="华文仿宋" w:hAnsi="华文仿宋" w:eastAsia="华文仿宋" w:cs="华文仿宋"/>
          <w:sz w:val="32"/>
          <w:szCs w:val="32"/>
          <w:lang w:eastAsia="zh-Hans"/>
        </w:rPr>
      </w:pPr>
      <w:r>
        <w:drawing>
          <wp:inline distT="0" distB="0" distL="114300" distR="114300">
            <wp:extent cx="5269230" cy="2360930"/>
            <wp:effectExtent l="0" t="0" r="7620" b="127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5269230" cy="2360930"/>
                    </a:xfrm>
                    <a:prstGeom prst="rect">
                      <a:avLst/>
                    </a:prstGeom>
                    <a:noFill/>
                    <a:ln>
                      <a:noFill/>
                    </a:ln>
                  </pic:spPr>
                </pic:pic>
              </a:graphicData>
            </a:graphic>
          </wp:inline>
        </w:drawing>
      </w:r>
    </w:p>
    <w:p>
      <w:pPr>
        <w:pStyle w:val="11"/>
        <w:numPr>
          <w:ilvl w:val="0"/>
          <w:numId w:val="3"/>
        </w:numPr>
        <w:ind w:firstLineChars="0"/>
        <w:rPr>
          <w:rFonts w:ascii="华文仿宋" w:hAnsi="华文仿宋" w:eastAsia="华文仿宋" w:cs="华文仿宋"/>
          <w:kern w:val="0"/>
          <w:sz w:val="32"/>
          <w:szCs w:val="32"/>
        </w:rPr>
      </w:pPr>
      <w:r>
        <w:rPr>
          <w:rFonts w:hint="eastAsia" w:ascii="华文仿宋" w:hAnsi="华文仿宋" w:eastAsia="华文仿宋" w:cs="华文仿宋"/>
          <w:kern w:val="0"/>
          <w:sz w:val="32"/>
          <w:szCs w:val="32"/>
        </w:rPr>
        <w:t>进入开具中央非税收入统一票据功能模块。选择筛选条件后点击【查询】。</w:t>
      </w:r>
    </w:p>
    <w:p>
      <w:pPr>
        <w:rPr>
          <w:rFonts w:ascii="华文仿宋" w:hAnsi="华文仿宋" w:eastAsia="华文仿宋" w:cs="华文仿宋"/>
          <w:sz w:val="32"/>
          <w:szCs w:val="32"/>
        </w:rPr>
      </w:pPr>
      <w:r>
        <w:drawing>
          <wp:inline distT="0" distB="0" distL="0" distR="0">
            <wp:extent cx="5274310" cy="2557780"/>
            <wp:effectExtent l="0" t="0" r="2540" b="0"/>
            <wp:docPr id="32797795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977951" name="图片 1"/>
                    <pic:cNvPicPr>
                      <a:picLocks noChangeAspect="1"/>
                    </pic:cNvPicPr>
                  </pic:nvPicPr>
                  <pic:blipFill>
                    <a:blip r:embed="rId5"/>
                    <a:stretch>
                      <a:fillRect/>
                    </a:stretch>
                  </pic:blipFill>
                  <pic:spPr>
                    <a:xfrm>
                      <a:off x="0" y="0"/>
                      <a:ext cx="5274310" cy="2557780"/>
                    </a:xfrm>
                    <a:prstGeom prst="rect">
                      <a:avLst/>
                    </a:prstGeom>
                  </pic:spPr>
                </pic:pic>
              </a:graphicData>
            </a:graphic>
          </wp:inline>
        </w:drawing>
      </w:r>
      <w:r>
        <w:rPr>
          <w:rFonts w:ascii="华文仿宋" w:hAnsi="华文仿宋" w:eastAsia="华文仿宋" w:cs="华文仿宋"/>
          <w:sz w:val="32"/>
          <w:szCs w:val="32"/>
        </w:rPr>
        <w:t xml:space="preserve"> </w:t>
      </w:r>
    </w:p>
    <w:p>
      <w:pPr>
        <w:pStyle w:val="11"/>
        <w:numPr>
          <w:ilvl w:val="0"/>
          <w:numId w:val="3"/>
        </w:numPr>
        <w:ind w:firstLineChars="0"/>
        <w:jc w:val="left"/>
        <w:rPr>
          <w:rFonts w:ascii="华文仿宋" w:hAnsi="华文仿宋" w:eastAsia="华文仿宋" w:cs="华文仿宋"/>
          <w:sz w:val="32"/>
          <w:szCs w:val="32"/>
        </w:rPr>
      </w:pPr>
      <w:r>
        <w:rPr>
          <w:rFonts w:hint="eastAsia" w:ascii="华文仿宋" w:hAnsi="华文仿宋" w:eastAsia="华文仿宋" w:cs="华文仿宋"/>
          <w:sz w:val="32"/>
          <w:szCs w:val="32"/>
        </w:rPr>
        <w:t>勾选列表需要开具</w:t>
      </w:r>
      <w:r>
        <w:rPr>
          <w:rFonts w:hint="eastAsia" w:ascii="华文仿宋" w:hAnsi="华文仿宋" w:eastAsia="华文仿宋" w:cs="华文仿宋"/>
          <w:kern w:val="0"/>
          <w:sz w:val="32"/>
          <w:szCs w:val="32"/>
        </w:rPr>
        <w:t>中央非税收入统一票据</w:t>
      </w:r>
      <w:r>
        <w:rPr>
          <w:rFonts w:hint="eastAsia" w:ascii="华文仿宋" w:hAnsi="华文仿宋" w:eastAsia="华文仿宋" w:cs="华文仿宋"/>
          <w:sz w:val="32"/>
          <w:szCs w:val="32"/>
        </w:rPr>
        <w:t>的数据，点击【开具】。</w:t>
      </w:r>
    </w:p>
    <w:p>
      <w:pPr>
        <w:rPr>
          <w:rFonts w:ascii="华文仿宋" w:hAnsi="华文仿宋" w:eastAsia="华文仿宋" w:cs="华文仿宋"/>
          <w:sz w:val="32"/>
          <w:szCs w:val="32"/>
        </w:rPr>
      </w:pPr>
      <w:r>
        <w:drawing>
          <wp:inline distT="0" distB="0" distL="114300" distR="114300">
            <wp:extent cx="5269230" cy="2534285"/>
            <wp:effectExtent l="0" t="0" r="7620" b="1841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6"/>
                    <a:stretch>
                      <a:fillRect/>
                    </a:stretch>
                  </pic:blipFill>
                  <pic:spPr>
                    <a:xfrm>
                      <a:off x="0" y="0"/>
                      <a:ext cx="5269230" cy="2534285"/>
                    </a:xfrm>
                    <a:prstGeom prst="rect">
                      <a:avLst/>
                    </a:prstGeom>
                    <a:noFill/>
                    <a:ln>
                      <a:noFill/>
                    </a:ln>
                  </pic:spPr>
                </pic:pic>
              </a:graphicData>
            </a:graphic>
          </wp:inline>
        </w:drawing>
      </w:r>
    </w:p>
    <w:p>
      <w:pPr>
        <w:pStyle w:val="11"/>
        <w:numPr>
          <w:ilvl w:val="0"/>
          <w:numId w:val="3"/>
        </w:numPr>
        <w:ind w:firstLineChars="0"/>
        <w:jc w:val="left"/>
        <w:rPr>
          <w:rFonts w:ascii="华文仿宋" w:hAnsi="华文仿宋" w:eastAsia="华文仿宋" w:cs="华文仿宋"/>
          <w:sz w:val="32"/>
          <w:szCs w:val="32"/>
        </w:rPr>
      </w:pPr>
      <w:r>
        <w:rPr>
          <w:rFonts w:hint="eastAsia" w:ascii="华文仿宋" w:hAnsi="华文仿宋" w:eastAsia="华文仿宋" w:cs="华文仿宋"/>
          <w:sz w:val="32"/>
          <w:szCs w:val="32"/>
        </w:rPr>
        <w:t>页面跳转至开具</w:t>
      </w:r>
      <w:r>
        <w:rPr>
          <w:rFonts w:hint="eastAsia" w:ascii="华文仿宋" w:hAnsi="华文仿宋" w:eastAsia="华文仿宋" w:cs="华文仿宋"/>
          <w:kern w:val="0"/>
          <w:sz w:val="32"/>
          <w:szCs w:val="32"/>
        </w:rPr>
        <w:t>中央非税收入统一票据成功页面。</w:t>
      </w:r>
    </w:p>
    <w:p>
      <w:pPr>
        <w:rPr>
          <w:rFonts w:ascii="华文仿宋" w:hAnsi="华文仿宋" w:eastAsia="华文仿宋" w:cs="华文仿宋"/>
          <w:sz w:val="32"/>
          <w:szCs w:val="32"/>
        </w:rPr>
      </w:pPr>
    </w:p>
    <w:p>
      <w:pPr>
        <w:rPr>
          <w:rFonts w:ascii="华文仿宋" w:hAnsi="华文仿宋" w:eastAsia="华文仿宋" w:cs="华文仿宋"/>
          <w:color w:val="000000" w:themeColor="text1"/>
          <w:sz w:val="32"/>
          <w:szCs w:val="32"/>
          <w14:textFill>
            <w14:solidFill>
              <w14:schemeClr w14:val="tx1"/>
            </w14:solidFill>
          </w14:textFill>
        </w:rPr>
      </w:pPr>
      <w:r>
        <w:drawing>
          <wp:inline distT="0" distB="0" distL="114300" distR="114300">
            <wp:extent cx="5269230" cy="2534285"/>
            <wp:effectExtent l="0" t="0" r="7620" b="1841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7"/>
                    <a:stretch>
                      <a:fillRect/>
                    </a:stretch>
                  </pic:blipFill>
                  <pic:spPr>
                    <a:xfrm>
                      <a:off x="0" y="0"/>
                      <a:ext cx="5269230" cy="2534285"/>
                    </a:xfrm>
                    <a:prstGeom prst="rect">
                      <a:avLst/>
                    </a:prstGeom>
                    <a:noFill/>
                    <a:ln>
                      <a:noFill/>
                    </a:ln>
                  </pic:spPr>
                </pic:pic>
              </a:graphicData>
            </a:graphic>
          </wp:inline>
        </w:drawing>
      </w:r>
    </w:p>
    <w:p>
      <w:pPr>
        <w:pStyle w:val="11"/>
        <w:numPr>
          <w:ilvl w:val="0"/>
          <w:numId w:val="3"/>
        </w:numPr>
        <w:ind w:firstLineChars="0"/>
        <w:rPr>
          <w:rFonts w:ascii="华文仿宋" w:hAnsi="华文仿宋" w:eastAsia="华文仿宋" w:cs="华文仿宋"/>
          <w:color w:val="000000" w:themeColor="text1"/>
          <w:sz w:val="32"/>
          <w:szCs w:val="32"/>
          <w14:textFill>
            <w14:solidFill>
              <w14:schemeClr w14:val="tx1"/>
            </w14:solidFill>
          </w14:textFill>
        </w:rPr>
      </w:pPr>
      <w:r>
        <w:rPr>
          <w:rFonts w:hint="eastAsia" w:ascii="华文仿宋" w:hAnsi="华文仿宋" w:eastAsia="华文仿宋" w:cs="华文仿宋"/>
          <w:color w:val="000000" w:themeColor="text1"/>
          <w:sz w:val="32"/>
          <w:szCs w:val="32"/>
          <w14:textFill>
            <w14:solidFill>
              <w14:schemeClr w14:val="tx1"/>
            </w14:solidFill>
          </w14:textFill>
        </w:rPr>
        <w:t>点击【票据下载（P</w:t>
      </w:r>
      <w:r>
        <w:rPr>
          <w:rFonts w:ascii="华文仿宋" w:hAnsi="华文仿宋" w:eastAsia="华文仿宋" w:cs="华文仿宋"/>
          <w:color w:val="000000" w:themeColor="text1"/>
          <w:sz w:val="32"/>
          <w:szCs w:val="32"/>
          <w14:textFill>
            <w14:solidFill>
              <w14:schemeClr w14:val="tx1"/>
            </w14:solidFill>
          </w14:textFill>
        </w:rPr>
        <w:t>DF</w:t>
      </w:r>
      <w:r>
        <w:rPr>
          <w:rFonts w:hint="eastAsia" w:ascii="华文仿宋" w:hAnsi="华文仿宋" w:eastAsia="华文仿宋" w:cs="华文仿宋"/>
          <w:color w:val="000000" w:themeColor="text1"/>
          <w:sz w:val="32"/>
          <w:szCs w:val="32"/>
          <w14:textFill>
            <w14:solidFill>
              <w14:schemeClr w14:val="tx1"/>
            </w14:solidFill>
          </w14:textFill>
        </w:rPr>
        <w:t>格式）】可下载开具成功后的中央非税收入统一票据，点击【评价】可对功能使用进行一个好差评反馈，点击【返回首页】，可跳转至首页界面。</w:t>
      </w:r>
    </w:p>
    <w:p>
      <w:pPr>
        <w:rPr>
          <w:rFonts w:ascii="华文仿宋" w:hAnsi="华文仿宋" w:eastAsia="华文仿宋" w:cs="华文仿宋"/>
          <w:sz w:val="32"/>
          <w:szCs w:val="32"/>
        </w:rPr>
      </w:pPr>
      <w:r>
        <w:drawing>
          <wp:inline distT="0" distB="0" distL="114300" distR="114300">
            <wp:extent cx="5269230" cy="2534285"/>
            <wp:effectExtent l="0" t="0" r="7620" b="1841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8"/>
                    <a:stretch>
                      <a:fillRect/>
                    </a:stretch>
                  </pic:blipFill>
                  <pic:spPr>
                    <a:xfrm>
                      <a:off x="0" y="0"/>
                      <a:ext cx="5269230" cy="2534285"/>
                    </a:xfrm>
                    <a:prstGeom prst="rect">
                      <a:avLst/>
                    </a:prstGeom>
                    <a:noFill/>
                    <a:ln>
                      <a:noFill/>
                    </a:ln>
                  </pic:spPr>
                </pic:pic>
              </a:graphicData>
            </a:graphic>
          </wp:inline>
        </w:drawing>
      </w:r>
    </w:p>
    <w:p>
      <w:pPr>
        <w:pStyle w:val="2"/>
        <w:numPr>
          <w:ilvl w:val="0"/>
          <w:numId w:val="1"/>
        </w:numPr>
        <w:rPr>
          <w:sz w:val="32"/>
          <w:szCs w:val="32"/>
        </w:rPr>
      </w:pPr>
      <w:r>
        <w:rPr>
          <w:rFonts w:hint="eastAsia"/>
          <w:sz w:val="32"/>
          <w:szCs w:val="32"/>
        </w:rPr>
        <w:t>报送资料</w:t>
      </w:r>
    </w:p>
    <w:p>
      <w:pPr>
        <w:pStyle w:val="11"/>
        <w:ind w:left="640" w:firstLine="0" w:firstLineChars="0"/>
        <w:rPr>
          <w:rFonts w:ascii="华文仿宋" w:hAnsi="华文仿宋" w:eastAsia="华文仿宋"/>
          <w:sz w:val="32"/>
          <w:szCs w:val="32"/>
        </w:rPr>
      </w:pPr>
      <w:r>
        <w:rPr>
          <w:rFonts w:hint="eastAsia" w:ascii="华文仿宋" w:hAnsi="华文仿宋" w:eastAsia="华文仿宋"/>
          <w:sz w:val="32"/>
          <w:szCs w:val="32"/>
        </w:rPr>
        <w:t>无</w:t>
      </w:r>
    </w:p>
    <w:p>
      <w:pPr>
        <w:pStyle w:val="2"/>
        <w:numPr>
          <w:ilvl w:val="0"/>
          <w:numId w:val="1"/>
        </w:numPr>
        <w:rPr>
          <w:sz w:val="32"/>
          <w:szCs w:val="32"/>
          <w:lang w:eastAsia="zh-Hans"/>
        </w:rPr>
      </w:pPr>
      <w:r>
        <w:rPr>
          <w:rFonts w:hint="eastAsia"/>
          <w:sz w:val="32"/>
          <w:szCs w:val="32"/>
          <w:lang w:eastAsia="zh-Hans"/>
        </w:rPr>
        <w:t>注意事项</w:t>
      </w:r>
    </w:p>
    <w:p>
      <w:pPr>
        <w:pStyle w:val="11"/>
        <w:numPr>
          <w:ilvl w:val="0"/>
          <w:numId w:val="4"/>
        </w:numPr>
        <w:ind w:left="0" w:firstLine="640"/>
        <w:rPr>
          <w:rFonts w:ascii="华文仿宋" w:hAnsi="华文仿宋" w:eastAsia="华文仿宋"/>
          <w:sz w:val="32"/>
          <w:szCs w:val="32"/>
        </w:rPr>
      </w:pPr>
      <w:r>
        <w:rPr>
          <w:rFonts w:ascii="华文仿宋" w:hAnsi="华文仿宋" w:eastAsia="华文仿宋"/>
          <w:sz w:val="32"/>
          <w:szCs w:val="32"/>
        </w:rPr>
        <w:t>纳税人对报送材料的真实性和合法性承担责任。</w:t>
      </w:r>
    </w:p>
    <w:p>
      <w:pPr>
        <w:pStyle w:val="11"/>
        <w:numPr>
          <w:ilvl w:val="0"/>
          <w:numId w:val="4"/>
        </w:numPr>
        <w:ind w:left="0" w:firstLine="640"/>
        <w:rPr>
          <w:rFonts w:ascii="华文仿宋" w:hAnsi="华文仿宋" w:eastAsia="华文仿宋"/>
          <w:sz w:val="32"/>
          <w:szCs w:val="32"/>
        </w:rPr>
      </w:pPr>
      <w:r>
        <w:rPr>
          <w:rFonts w:ascii="华文仿宋" w:hAnsi="华文仿宋" w:eastAsia="华文仿宋"/>
          <w:sz w:val="32"/>
          <w:szCs w:val="32"/>
        </w:rPr>
        <w:t xml:space="preserve">税务机关提供“最多跑一次”服务。纳税人在资料完整且符合法定受理条件的前提下，最多只需要到税务机关跑一次。 </w:t>
      </w:r>
    </w:p>
    <w:p>
      <w:pPr>
        <w:pStyle w:val="11"/>
        <w:numPr>
          <w:ilvl w:val="0"/>
          <w:numId w:val="4"/>
        </w:numPr>
        <w:ind w:left="0" w:firstLine="640"/>
        <w:rPr>
          <w:rFonts w:ascii="华文仿宋" w:hAnsi="华文仿宋" w:eastAsia="华文仿宋"/>
          <w:sz w:val="32"/>
          <w:szCs w:val="32"/>
        </w:rPr>
      </w:pPr>
      <w:r>
        <w:rPr>
          <w:rFonts w:ascii="华文仿宋" w:hAnsi="华文仿宋" w:eastAsia="华文仿宋"/>
          <w:sz w:val="32"/>
          <w:szCs w:val="32"/>
        </w:rPr>
        <w:t>纳税人使用符合电子签名法规定条件的电子签名，与手写签名或者盖章具有同等法律效力。</w:t>
      </w:r>
    </w:p>
    <w:p>
      <w:pPr>
        <w:pStyle w:val="2"/>
        <w:numPr>
          <w:ilvl w:val="0"/>
          <w:numId w:val="1"/>
        </w:numPr>
        <w:rPr>
          <w:sz w:val="32"/>
          <w:szCs w:val="32"/>
          <w:lang w:eastAsia="zh-Hans"/>
        </w:rPr>
      </w:pPr>
      <w:r>
        <w:rPr>
          <w:rFonts w:hint="eastAsia"/>
          <w:sz w:val="32"/>
          <w:szCs w:val="32"/>
          <w:lang w:eastAsia="zh-Hans"/>
        </w:rPr>
        <w:t>常见问题</w:t>
      </w:r>
    </w:p>
    <w:p>
      <w:pPr>
        <w:ind w:firstLine="640" w:firstLineChars="200"/>
        <w:rPr>
          <w:rFonts w:ascii="华文仿宋" w:hAnsi="华文仿宋" w:eastAsia="华文仿宋" w:cs="华文仿宋"/>
          <w:sz w:val="32"/>
          <w:szCs w:val="32"/>
        </w:rPr>
      </w:pPr>
      <w:r>
        <w:rPr>
          <w:rFonts w:ascii="华文仿宋" w:hAnsi="华文仿宋" w:eastAsia="华文仿宋" w:cs="华文仿宋"/>
          <w:sz w:val="32"/>
          <w:szCs w:val="32"/>
        </w:rPr>
        <w:t>1.</w:t>
      </w:r>
      <w:r>
        <w:rPr>
          <w:rFonts w:hint="eastAsia" w:ascii="Times New Roman" w:hAnsi="Times New Roman" w:cstheme="minorBidi"/>
          <w:color w:val="000000" w:themeColor="text1"/>
          <w:sz w:val="24"/>
          <w14:textFill>
            <w14:solidFill>
              <w14:schemeClr w14:val="tx1"/>
            </w14:solidFill>
          </w14:textFill>
        </w:rPr>
        <w:t xml:space="preserve"> </w:t>
      </w:r>
      <w:r>
        <w:rPr>
          <w:rFonts w:hint="eastAsia" w:ascii="华文仿宋" w:hAnsi="华文仿宋" w:eastAsia="华文仿宋" w:cstheme="minorBidi"/>
          <w:color w:val="000000" w:themeColor="text1"/>
          <w:sz w:val="32"/>
          <w:szCs w:val="32"/>
          <w14:textFill>
            <w14:solidFill>
              <w14:schemeClr w14:val="tx1"/>
            </w14:solidFill>
          </w14:textFill>
        </w:rPr>
        <w:t>如果纳税人非首次开具中央非税收入统一票据</w:t>
      </w:r>
      <w:r>
        <w:rPr>
          <w:rFonts w:hint="eastAsia" w:ascii="华文仿宋" w:hAnsi="华文仿宋" w:eastAsia="华文仿宋" w:cstheme="minorBidi"/>
          <w:color w:val="000000" w:themeColor="text1"/>
          <w:sz w:val="32"/>
          <w:szCs w:val="32"/>
          <w:lang w:eastAsia="zh-Hans"/>
          <w14:textFill>
            <w14:solidFill>
              <w14:schemeClr w14:val="tx1"/>
            </w14:solidFill>
          </w14:textFill>
        </w:rPr>
        <w:t>该如何处理</w:t>
      </w:r>
      <w:r>
        <w:rPr>
          <w:rFonts w:hint="eastAsia" w:ascii="华文仿宋" w:hAnsi="华文仿宋" w:eastAsia="华文仿宋" w:cs="华文仿宋"/>
          <w:sz w:val="32"/>
          <w:szCs w:val="32"/>
        </w:rPr>
        <w:t>？</w:t>
      </w:r>
    </w:p>
    <w:p>
      <w:pPr>
        <w:ind w:firstLine="640" w:firstLineChars="200"/>
        <w:rPr>
          <w:rFonts w:ascii="华文仿宋" w:hAnsi="华文仿宋" w:eastAsia="华文仿宋" w:cs="华文仿宋"/>
          <w:kern w:val="0"/>
          <w:sz w:val="32"/>
          <w:szCs w:val="32"/>
        </w:rPr>
      </w:pPr>
      <w:r>
        <w:rPr>
          <w:rFonts w:hint="eastAsia" w:ascii="华文仿宋" w:hAnsi="华文仿宋" w:eastAsia="华文仿宋" w:cs="华文仿宋"/>
          <w:sz w:val="32"/>
          <w:szCs w:val="32"/>
        </w:rPr>
        <w:t>答：</w:t>
      </w:r>
      <w:r>
        <w:rPr>
          <w:rFonts w:hint="eastAsia" w:ascii="华文仿宋" w:hAnsi="华文仿宋" w:eastAsia="华文仿宋" w:cstheme="minorBidi"/>
          <w:color w:val="000000" w:themeColor="text1"/>
          <w:sz w:val="32"/>
          <w:szCs w:val="32"/>
          <w14:textFill>
            <w14:solidFill>
              <w14:schemeClr w14:val="tx1"/>
            </w14:solidFill>
          </w14:textFill>
        </w:rPr>
        <w:t>点击</w:t>
      </w:r>
      <w:r>
        <w:rPr>
          <w:rFonts w:hint="eastAsia" w:ascii="华文仿宋" w:hAnsi="华文仿宋" w:eastAsia="华文仿宋" w:cs="华文仿宋"/>
          <w:sz w:val="32"/>
          <w:szCs w:val="32"/>
        </w:rPr>
        <w:t>我要办税-证明开具-</w:t>
      </w:r>
      <w:r>
        <w:rPr>
          <w:rFonts w:hint="eastAsia" w:ascii="华文仿宋" w:hAnsi="华文仿宋" w:eastAsia="华文仿宋" w:cstheme="minorBidi"/>
          <w:color w:val="000000" w:themeColor="text1"/>
          <w:sz w:val="32"/>
          <w:szCs w:val="32"/>
          <w14:textFill>
            <w14:solidFill>
              <w14:schemeClr w14:val="tx1"/>
            </w14:solidFill>
          </w14:textFill>
        </w:rPr>
        <w:t>开具中央非税收入统一票据</w:t>
      </w:r>
      <w:r>
        <w:rPr>
          <w:rFonts w:hint="eastAsia" w:ascii="华文仿宋" w:hAnsi="华文仿宋" w:eastAsia="华文仿宋" w:cs="华文仿宋"/>
          <w:sz w:val="32"/>
          <w:szCs w:val="32"/>
        </w:rPr>
        <w:t>-</w:t>
      </w:r>
      <w:r>
        <w:rPr>
          <w:rFonts w:hint="eastAsia" w:ascii="华文仿宋" w:hAnsi="华文仿宋" w:eastAsia="华文仿宋" w:cstheme="minorBidi"/>
          <w:color w:val="000000" w:themeColor="text1"/>
          <w:sz w:val="32"/>
          <w:szCs w:val="32"/>
          <w14:textFill>
            <w14:solidFill>
              <w14:schemeClr w14:val="tx1"/>
            </w14:solidFill>
          </w14:textFill>
        </w:rPr>
        <w:t>开具中央非税收入统一票据-</w:t>
      </w:r>
      <w:r>
        <w:rPr>
          <w:rFonts w:hint="eastAsia" w:ascii="华文仿宋" w:hAnsi="华文仿宋" w:eastAsia="华文仿宋" w:cs="华文仿宋"/>
          <w:kern w:val="0"/>
          <w:sz w:val="32"/>
          <w:szCs w:val="32"/>
        </w:rPr>
        <w:t>是否首次开具选择否，点击【查询】完成相关未办结事宜。</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华文仿宋">
    <w:altName w:val="仿宋"/>
    <w:panose1 w:val="00000000000000000000"/>
    <w:charset w:val="86"/>
    <w:family w:val="auto"/>
    <w:pitch w:val="default"/>
    <w:sig w:usb0="00000000" w:usb1="00000000" w:usb2="00000010" w:usb3="00000000" w:csb0="0004009F"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680983"/>
    <w:multiLevelType w:val="multilevel"/>
    <w:tmpl w:val="05680983"/>
    <w:lvl w:ilvl="0" w:tentative="0">
      <w:start w:val="1"/>
      <w:numFmt w:val="japaneseCounting"/>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41A6B29"/>
    <w:multiLevelType w:val="multilevel"/>
    <w:tmpl w:val="141A6B29"/>
    <w:lvl w:ilvl="0" w:tentative="0">
      <w:start w:val="1"/>
      <w:numFmt w:val="decimal"/>
      <w:suff w:val="space"/>
      <w:lvlText w:val="%1."/>
      <w:lvlJc w:val="left"/>
      <w:pPr>
        <w:ind w:left="440" w:firstLine="127"/>
      </w:pPr>
      <w:rPr>
        <w:rFonts w:hint="eastAsia"/>
      </w:rPr>
    </w:lvl>
    <w:lvl w:ilvl="1" w:tentative="0">
      <w:start w:val="1"/>
      <w:numFmt w:val="lowerLetter"/>
      <w:lvlText w:val="%2)"/>
      <w:lvlJc w:val="left"/>
      <w:pPr>
        <w:ind w:left="1520" w:hanging="440"/>
      </w:pPr>
    </w:lvl>
    <w:lvl w:ilvl="2" w:tentative="0">
      <w:start w:val="1"/>
      <w:numFmt w:val="lowerRoman"/>
      <w:lvlText w:val="%3."/>
      <w:lvlJc w:val="right"/>
      <w:pPr>
        <w:ind w:left="1960" w:hanging="440"/>
      </w:pPr>
    </w:lvl>
    <w:lvl w:ilvl="3" w:tentative="0">
      <w:start w:val="1"/>
      <w:numFmt w:val="decimal"/>
      <w:lvlText w:val="%4."/>
      <w:lvlJc w:val="left"/>
      <w:pPr>
        <w:ind w:left="2400" w:hanging="440"/>
      </w:pPr>
    </w:lvl>
    <w:lvl w:ilvl="4" w:tentative="0">
      <w:start w:val="1"/>
      <w:numFmt w:val="lowerLetter"/>
      <w:lvlText w:val="%5)"/>
      <w:lvlJc w:val="left"/>
      <w:pPr>
        <w:ind w:left="2840" w:hanging="440"/>
      </w:pPr>
    </w:lvl>
    <w:lvl w:ilvl="5" w:tentative="0">
      <w:start w:val="1"/>
      <w:numFmt w:val="lowerRoman"/>
      <w:lvlText w:val="%6."/>
      <w:lvlJc w:val="right"/>
      <w:pPr>
        <w:ind w:left="3280" w:hanging="440"/>
      </w:pPr>
    </w:lvl>
    <w:lvl w:ilvl="6" w:tentative="0">
      <w:start w:val="1"/>
      <w:numFmt w:val="decimal"/>
      <w:lvlText w:val="%7."/>
      <w:lvlJc w:val="left"/>
      <w:pPr>
        <w:ind w:left="3720" w:hanging="440"/>
      </w:pPr>
    </w:lvl>
    <w:lvl w:ilvl="7" w:tentative="0">
      <w:start w:val="1"/>
      <w:numFmt w:val="lowerLetter"/>
      <w:lvlText w:val="%8)"/>
      <w:lvlJc w:val="left"/>
      <w:pPr>
        <w:ind w:left="4160" w:hanging="440"/>
      </w:pPr>
    </w:lvl>
    <w:lvl w:ilvl="8" w:tentative="0">
      <w:start w:val="1"/>
      <w:numFmt w:val="lowerRoman"/>
      <w:lvlText w:val="%9."/>
      <w:lvlJc w:val="right"/>
      <w:pPr>
        <w:ind w:left="4600" w:hanging="440"/>
      </w:pPr>
    </w:lvl>
  </w:abstractNum>
  <w:abstractNum w:abstractNumId="2">
    <w:nsid w:val="5BD369BD"/>
    <w:multiLevelType w:val="multilevel"/>
    <w:tmpl w:val="5BD369BD"/>
    <w:lvl w:ilvl="0" w:tentative="0">
      <w:start w:val="1"/>
      <w:numFmt w:val="decimal"/>
      <w:suff w:val="space"/>
      <w:lvlText w:val="%1."/>
      <w:lvlJc w:val="left"/>
      <w:pPr>
        <w:ind w:left="0" w:firstLine="567"/>
      </w:pPr>
      <w:rPr>
        <w:rFonts w:hint="eastAsia"/>
      </w:rPr>
    </w:lvl>
    <w:lvl w:ilvl="1" w:tentative="0">
      <w:start w:val="3"/>
      <w:numFmt w:val="decimal"/>
      <w:suff w:val="space"/>
      <w:lvlText w:val="%2）"/>
      <w:lvlJc w:val="left"/>
      <w:pPr>
        <w:ind w:left="1780" w:hanging="720"/>
      </w:pPr>
      <w:rPr>
        <w:rFonts w:hint="default"/>
      </w:r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3">
    <w:nsid w:val="5F1C7F9D"/>
    <w:multiLevelType w:val="multilevel"/>
    <w:tmpl w:val="5F1C7F9D"/>
    <w:lvl w:ilvl="0" w:tentative="0">
      <w:start w:val="1"/>
      <w:numFmt w:val="decimal"/>
      <w:suff w:val="space"/>
      <w:lvlText w:val="%1."/>
      <w:lvlJc w:val="left"/>
      <w:pPr>
        <w:ind w:left="725" w:firstLine="127"/>
      </w:pPr>
      <w:rPr>
        <w:rFonts w:hint="eastAsia"/>
      </w:rPr>
    </w:lvl>
    <w:lvl w:ilvl="1" w:tentative="0">
      <w:start w:val="1"/>
      <w:numFmt w:val="lowerLetter"/>
      <w:lvlText w:val="%2)"/>
      <w:lvlJc w:val="left"/>
      <w:pPr>
        <w:ind w:left="1805" w:hanging="440"/>
      </w:pPr>
    </w:lvl>
    <w:lvl w:ilvl="2" w:tentative="0">
      <w:start w:val="1"/>
      <w:numFmt w:val="lowerRoman"/>
      <w:lvlText w:val="%3."/>
      <w:lvlJc w:val="right"/>
      <w:pPr>
        <w:ind w:left="2245" w:hanging="440"/>
      </w:pPr>
    </w:lvl>
    <w:lvl w:ilvl="3" w:tentative="0">
      <w:start w:val="1"/>
      <w:numFmt w:val="decimal"/>
      <w:lvlText w:val="%4."/>
      <w:lvlJc w:val="left"/>
      <w:pPr>
        <w:ind w:left="2685" w:hanging="440"/>
      </w:pPr>
    </w:lvl>
    <w:lvl w:ilvl="4" w:tentative="0">
      <w:start w:val="1"/>
      <w:numFmt w:val="lowerLetter"/>
      <w:lvlText w:val="%5)"/>
      <w:lvlJc w:val="left"/>
      <w:pPr>
        <w:ind w:left="3125" w:hanging="440"/>
      </w:pPr>
    </w:lvl>
    <w:lvl w:ilvl="5" w:tentative="0">
      <w:start w:val="1"/>
      <w:numFmt w:val="lowerRoman"/>
      <w:lvlText w:val="%6."/>
      <w:lvlJc w:val="right"/>
      <w:pPr>
        <w:ind w:left="3565" w:hanging="440"/>
      </w:pPr>
    </w:lvl>
    <w:lvl w:ilvl="6" w:tentative="0">
      <w:start w:val="1"/>
      <w:numFmt w:val="decimal"/>
      <w:lvlText w:val="%7."/>
      <w:lvlJc w:val="left"/>
      <w:pPr>
        <w:ind w:left="4005" w:hanging="440"/>
      </w:pPr>
    </w:lvl>
    <w:lvl w:ilvl="7" w:tentative="0">
      <w:start w:val="1"/>
      <w:numFmt w:val="lowerLetter"/>
      <w:lvlText w:val="%8)"/>
      <w:lvlJc w:val="left"/>
      <w:pPr>
        <w:ind w:left="4445" w:hanging="440"/>
      </w:pPr>
    </w:lvl>
    <w:lvl w:ilvl="8" w:tentative="0">
      <w:start w:val="1"/>
      <w:numFmt w:val="lowerRoman"/>
      <w:lvlText w:val="%9."/>
      <w:lvlJc w:val="right"/>
      <w:pPr>
        <w:ind w:left="4885" w:hanging="44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GI1OGFlYzRkZmQwNmIzNGRhNTA3NmI0ZGIyMGFmMTcifQ=="/>
  </w:docVars>
  <w:rsids>
    <w:rsidRoot w:val="0093492C"/>
    <w:rsid w:val="00025BD4"/>
    <w:rsid w:val="00043082"/>
    <w:rsid w:val="00087DB7"/>
    <w:rsid w:val="000A1BE2"/>
    <w:rsid w:val="000C3C92"/>
    <w:rsid w:val="000E3390"/>
    <w:rsid w:val="00104AE0"/>
    <w:rsid w:val="00122AD6"/>
    <w:rsid w:val="00126E4F"/>
    <w:rsid w:val="00141A74"/>
    <w:rsid w:val="00142E81"/>
    <w:rsid w:val="001B48A9"/>
    <w:rsid w:val="001C42C8"/>
    <w:rsid w:val="001E44C8"/>
    <w:rsid w:val="001E4754"/>
    <w:rsid w:val="00227092"/>
    <w:rsid w:val="0025041F"/>
    <w:rsid w:val="00256970"/>
    <w:rsid w:val="00260B43"/>
    <w:rsid w:val="002A581A"/>
    <w:rsid w:val="002B5D79"/>
    <w:rsid w:val="002B675E"/>
    <w:rsid w:val="00322232"/>
    <w:rsid w:val="00360C53"/>
    <w:rsid w:val="00374787"/>
    <w:rsid w:val="003B5451"/>
    <w:rsid w:val="003E08B2"/>
    <w:rsid w:val="0040579F"/>
    <w:rsid w:val="00461DDB"/>
    <w:rsid w:val="00470F62"/>
    <w:rsid w:val="00497D65"/>
    <w:rsid w:val="004D05BC"/>
    <w:rsid w:val="004E0413"/>
    <w:rsid w:val="004E5113"/>
    <w:rsid w:val="00512624"/>
    <w:rsid w:val="00545BB5"/>
    <w:rsid w:val="005B1C72"/>
    <w:rsid w:val="005C0996"/>
    <w:rsid w:val="005E398B"/>
    <w:rsid w:val="005E4CE8"/>
    <w:rsid w:val="005F16E0"/>
    <w:rsid w:val="00603B44"/>
    <w:rsid w:val="00604736"/>
    <w:rsid w:val="00635CBF"/>
    <w:rsid w:val="006574D8"/>
    <w:rsid w:val="006C2637"/>
    <w:rsid w:val="006F5A01"/>
    <w:rsid w:val="00701EF4"/>
    <w:rsid w:val="00702D2B"/>
    <w:rsid w:val="007A2603"/>
    <w:rsid w:val="007C7BD8"/>
    <w:rsid w:val="007D31CF"/>
    <w:rsid w:val="007D6260"/>
    <w:rsid w:val="007F45A9"/>
    <w:rsid w:val="008016F7"/>
    <w:rsid w:val="00806456"/>
    <w:rsid w:val="00824A0D"/>
    <w:rsid w:val="00835C6D"/>
    <w:rsid w:val="00872C11"/>
    <w:rsid w:val="00884DCA"/>
    <w:rsid w:val="008A010E"/>
    <w:rsid w:val="008F79EB"/>
    <w:rsid w:val="0093492C"/>
    <w:rsid w:val="00934A80"/>
    <w:rsid w:val="00945FA1"/>
    <w:rsid w:val="009476DA"/>
    <w:rsid w:val="0095664F"/>
    <w:rsid w:val="009600DB"/>
    <w:rsid w:val="00985C98"/>
    <w:rsid w:val="009A4D98"/>
    <w:rsid w:val="009C4769"/>
    <w:rsid w:val="009D72F9"/>
    <w:rsid w:val="00A27A89"/>
    <w:rsid w:val="00A50AEE"/>
    <w:rsid w:val="00A725DA"/>
    <w:rsid w:val="00AA0962"/>
    <w:rsid w:val="00AA65D6"/>
    <w:rsid w:val="00AB634E"/>
    <w:rsid w:val="00AC3C97"/>
    <w:rsid w:val="00AD5B87"/>
    <w:rsid w:val="00B42A5C"/>
    <w:rsid w:val="00B4542F"/>
    <w:rsid w:val="00B717E9"/>
    <w:rsid w:val="00BC6625"/>
    <w:rsid w:val="00BC6957"/>
    <w:rsid w:val="00BD4479"/>
    <w:rsid w:val="00BE525B"/>
    <w:rsid w:val="00BE65DB"/>
    <w:rsid w:val="00BF550B"/>
    <w:rsid w:val="00C0778F"/>
    <w:rsid w:val="00C24BFC"/>
    <w:rsid w:val="00C51D60"/>
    <w:rsid w:val="00C639A8"/>
    <w:rsid w:val="00C80668"/>
    <w:rsid w:val="00C839DA"/>
    <w:rsid w:val="00C85B0E"/>
    <w:rsid w:val="00C92F25"/>
    <w:rsid w:val="00CB0E98"/>
    <w:rsid w:val="00CD4E6B"/>
    <w:rsid w:val="00CE2BBD"/>
    <w:rsid w:val="00D06DBE"/>
    <w:rsid w:val="00D13713"/>
    <w:rsid w:val="00D24CEF"/>
    <w:rsid w:val="00D426CD"/>
    <w:rsid w:val="00D546EE"/>
    <w:rsid w:val="00D87620"/>
    <w:rsid w:val="00DA35E1"/>
    <w:rsid w:val="00DC2777"/>
    <w:rsid w:val="00DD40DB"/>
    <w:rsid w:val="00DD460F"/>
    <w:rsid w:val="00DE1587"/>
    <w:rsid w:val="00DE2B7F"/>
    <w:rsid w:val="00E12F89"/>
    <w:rsid w:val="00E56045"/>
    <w:rsid w:val="00E82F55"/>
    <w:rsid w:val="00EA14AF"/>
    <w:rsid w:val="00EB2739"/>
    <w:rsid w:val="00EE0623"/>
    <w:rsid w:val="00EF476B"/>
    <w:rsid w:val="00F34CE7"/>
    <w:rsid w:val="00F40273"/>
    <w:rsid w:val="00F72B53"/>
    <w:rsid w:val="00F77BF2"/>
    <w:rsid w:val="00FE28DB"/>
    <w:rsid w:val="00FE2E08"/>
    <w:rsid w:val="00FE4975"/>
    <w:rsid w:val="365C4DBF"/>
    <w:rsid w:val="66DE5E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link w:val="9"/>
    <w:autoRedefine/>
    <w:qFormat/>
    <w:uiPriority w:val="0"/>
    <w:pPr>
      <w:keepNext/>
      <w:keepLines/>
      <w:outlineLvl w:val="1"/>
    </w:pPr>
    <w:rPr>
      <w:rFonts w:ascii="Arial" w:hAnsi="Arial" w:eastAsia="黑体"/>
      <w:b/>
      <w:sz w:val="28"/>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3">
    <w:name w:val="footer"/>
    <w:basedOn w:val="1"/>
    <w:link w:val="8"/>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7">
    <w:name w:val="页眉 字符"/>
    <w:basedOn w:val="6"/>
    <w:link w:val="4"/>
    <w:autoRedefine/>
    <w:qFormat/>
    <w:uiPriority w:val="99"/>
    <w:rPr>
      <w:sz w:val="18"/>
      <w:szCs w:val="18"/>
    </w:rPr>
  </w:style>
  <w:style w:type="character" w:customStyle="1" w:styleId="8">
    <w:name w:val="页脚 字符"/>
    <w:basedOn w:val="6"/>
    <w:link w:val="3"/>
    <w:autoRedefine/>
    <w:qFormat/>
    <w:uiPriority w:val="99"/>
    <w:rPr>
      <w:sz w:val="18"/>
      <w:szCs w:val="18"/>
    </w:rPr>
  </w:style>
  <w:style w:type="character" w:customStyle="1" w:styleId="9">
    <w:name w:val="标题 2 字符"/>
    <w:basedOn w:val="6"/>
    <w:link w:val="2"/>
    <w:autoRedefine/>
    <w:uiPriority w:val="0"/>
    <w:rPr>
      <w:rFonts w:ascii="Arial" w:hAnsi="Arial" w:eastAsia="黑体" w:cs="Times New Roman"/>
      <w:b/>
      <w:sz w:val="28"/>
      <w:szCs w:val="24"/>
    </w:rPr>
  </w:style>
  <w:style w:type="paragraph" w:customStyle="1" w:styleId="10">
    <w:name w:val="_Style 9"/>
    <w:basedOn w:val="1"/>
    <w:next w:val="11"/>
    <w:autoRedefine/>
    <w:qFormat/>
    <w:uiPriority w:val="99"/>
    <w:pPr>
      <w:ind w:firstLine="420" w:firstLineChars="200"/>
    </w:pPr>
  </w:style>
  <w:style w:type="paragraph" w:styleId="11">
    <w:name w:val="List Paragraph"/>
    <w:basedOn w:val="1"/>
    <w:autoRedefine/>
    <w:qFormat/>
    <w:uiPriority w:val="34"/>
    <w:pPr>
      <w:ind w:firstLine="420" w:firstLineChars="200"/>
    </w:pPr>
  </w:style>
  <w:style w:type="character" w:customStyle="1" w:styleId="12">
    <w:name w:val="font11"/>
    <w:autoRedefine/>
    <w:qFormat/>
    <w:uiPriority w:val="0"/>
    <w:rPr>
      <w:rFonts w:hint="eastAsia" w:ascii="宋体" w:hAnsi="宋体" w:eastAsia="宋体" w:cs="宋体"/>
      <w:color w:val="000000"/>
      <w:sz w:val="18"/>
      <w:szCs w:val="18"/>
      <w:u w:val="none"/>
    </w:rPr>
  </w:style>
  <w:style w:type="paragraph" w:customStyle="1" w:styleId="13">
    <w:name w:val="_Style 3"/>
    <w:basedOn w:val="1"/>
    <w:autoRedefine/>
    <w:qFormat/>
    <w:uiPriority w:val="0"/>
    <w:pPr>
      <w:ind w:firstLine="420" w:firstLineChars="200"/>
    </w:pPr>
    <w:rPr>
      <w:szCs w:val="22"/>
    </w:rPr>
  </w:style>
  <w:style w:type="paragraph" w:customStyle="1" w:styleId="14">
    <w:name w:val="（1）"/>
    <w:basedOn w:val="1"/>
    <w:link w:val="15"/>
    <w:autoRedefine/>
    <w:qFormat/>
    <w:uiPriority w:val="0"/>
    <w:rPr>
      <w:rFonts w:ascii="华文仿宋" w:hAnsi="华文仿宋" w:eastAsia="华文仿宋" w:cs="华文仿宋"/>
      <w:sz w:val="32"/>
      <w:szCs w:val="32"/>
      <w:lang w:eastAsia="zh-Hans"/>
    </w:rPr>
  </w:style>
  <w:style w:type="character" w:customStyle="1" w:styleId="15">
    <w:name w:val="（1） 字符"/>
    <w:basedOn w:val="6"/>
    <w:link w:val="14"/>
    <w:autoRedefine/>
    <w:qFormat/>
    <w:uiPriority w:val="0"/>
    <w:rPr>
      <w:rFonts w:ascii="华文仿宋" w:hAnsi="华文仿宋" w:eastAsia="华文仿宋" w:cs="华文仿宋"/>
      <w:sz w:val="32"/>
      <w:szCs w:val="32"/>
      <w:lang w:eastAsia="zh-Hans"/>
    </w:rPr>
  </w:style>
  <w:style w:type="paragraph" w:customStyle="1" w:styleId="16">
    <w:name w:val="表格文字 左对齐"/>
    <w:basedOn w:val="1"/>
    <w:link w:val="17"/>
    <w:autoRedefine/>
    <w:qFormat/>
    <w:uiPriority w:val="0"/>
    <w:pPr>
      <w:jc w:val="left"/>
    </w:pPr>
    <w:rPr>
      <w:rFonts w:ascii="Arial" w:hAnsi="Arial" w:cs="Arial"/>
      <w:kern w:val="0"/>
      <w:sz w:val="18"/>
      <w:szCs w:val="20"/>
    </w:rPr>
  </w:style>
  <w:style w:type="character" w:customStyle="1" w:styleId="17">
    <w:name w:val="表格文字 左对齐 Char"/>
    <w:link w:val="16"/>
    <w:autoRedefine/>
    <w:qFormat/>
    <w:uiPriority w:val="0"/>
    <w:rPr>
      <w:rFonts w:ascii="Arial" w:hAnsi="Arial" w:eastAsia="宋体" w:cs="Arial"/>
      <w:kern w:val="0"/>
      <w:sz w:val="18"/>
      <w:szCs w:val="20"/>
    </w:rPr>
  </w:style>
  <w:style w:type="paragraph" w:customStyle="1" w:styleId="18">
    <w:name w:val="表格文字 居中"/>
    <w:basedOn w:val="1"/>
    <w:link w:val="19"/>
    <w:autoRedefine/>
    <w:qFormat/>
    <w:uiPriority w:val="0"/>
    <w:pPr>
      <w:widowControl/>
      <w:jc w:val="center"/>
    </w:pPr>
    <w:rPr>
      <w:rFonts w:ascii="Times New Roman" w:hAnsi="Times New Roman" w:cs="宋体"/>
      <w:szCs w:val="20"/>
    </w:rPr>
  </w:style>
  <w:style w:type="character" w:customStyle="1" w:styleId="19">
    <w:name w:val="表格文字 居中 Char"/>
    <w:link w:val="18"/>
    <w:autoRedefine/>
    <w:qFormat/>
    <w:uiPriority w:val="0"/>
    <w:rPr>
      <w:rFonts w:ascii="Times New Roman" w:hAnsi="Times New Roman" w:eastAsia="宋体" w:cs="宋体"/>
      <w:szCs w:val="20"/>
    </w:rPr>
  </w:style>
  <w:style w:type="paragraph" w:customStyle="1" w:styleId="20">
    <w:name w:val="表格列标题"/>
    <w:basedOn w:val="1"/>
    <w:link w:val="21"/>
    <w:autoRedefine/>
    <w:qFormat/>
    <w:uiPriority w:val="0"/>
    <w:pPr>
      <w:jc w:val="center"/>
    </w:pPr>
    <w:rPr>
      <w:rFonts w:ascii="Arial" w:hAnsi="Arial" w:cs="Arial"/>
      <w:b/>
      <w:sz w:val="18"/>
    </w:rPr>
  </w:style>
  <w:style w:type="character" w:customStyle="1" w:styleId="21">
    <w:name w:val="表格列标题 Char"/>
    <w:link w:val="20"/>
    <w:autoRedefine/>
    <w:qFormat/>
    <w:uiPriority w:val="0"/>
    <w:rPr>
      <w:rFonts w:ascii="Arial" w:hAnsi="Arial" w:eastAsia="宋体" w:cs="Arial"/>
      <w:b/>
      <w:sz w:val="18"/>
      <w:szCs w:val="24"/>
    </w:rPr>
  </w:style>
  <w:style w:type="paragraph" w:customStyle="1" w:styleId="22">
    <w:name w:val="需求正文"/>
    <w:basedOn w:val="1"/>
    <w:qFormat/>
    <w:uiPriority w:val="0"/>
    <w:pPr>
      <w:ind w:firstLine="420"/>
    </w:pPr>
    <w:rPr>
      <w:rFonts w:ascii="Arial" w:hAnsi="Arial" w:cs="Arial"/>
      <w:szCs w:val="21"/>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33BE87-0F5A-412F-BF1F-DF3589574899}">
  <ds:schemaRefs/>
</ds:datastoreItem>
</file>

<file path=docProps/app.xml><?xml version="1.0" encoding="utf-8"?>
<Properties xmlns="http://schemas.openxmlformats.org/officeDocument/2006/extended-properties" xmlns:vt="http://schemas.openxmlformats.org/officeDocument/2006/docPropsVTypes">
  <Template>Normal.dotm</Template>
  <Pages>5</Pages>
  <Words>147</Words>
  <Characters>840</Characters>
  <Lines>7</Lines>
  <Paragraphs>1</Paragraphs>
  <TotalTime>27</TotalTime>
  <ScaleCrop>false</ScaleCrop>
  <LinksUpToDate>false</LinksUpToDate>
  <CharactersWithSpaces>986</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2022-12-02T08:42:00Z</dcterms:created>
  <dc:creator>张 鹏</dc:creator>
  <cp:lastModifiedBy>刘夏天.</cp:lastModifiedBy>
  <dcterms:modified xsi:type="dcterms:W3CDTF">2024-03-14T08:08:58Z</dcterms:modified>
  <cp:revision>70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248A97D81C38423D934B7C94E60D2624_12</vt:lpwstr>
  </property>
</Properties>
</file>