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spacing w:line="560" w:lineRule="exact"/>
        <w:rPr>
          <w:rFonts w:hint="eastAsia" w:ascii="仿宋" w:hAnsi="仿宋" w:eastAsia="仿宋" w:cs="仿宋"/>
          <w:color w:val="auto"/>
          <w:sz w:val="30"/>
          <w:szCs w:val="30"/>
          <w:lang w:eastAsia="zh-CN"/>
        </w:rPr>
      </w:pPr>
      <w:r>
        <w:rPr>
          <w:rFonts w:hint="eastAsia" w:ascii="仿宋" w:hAnsi="仿宋" w:eastAsia="仿宋" w:cs="仿宋"/>
          <w:color w:val="auto"/>
          <w:sz w:val="30"/>
          <w:szCs w:val="30"/>
        </w:rPr>
        <w:t>附件</w:t>
      </w:r>
      <w:r>
        <w:rPr>
          <w:rFonts w:hint="eastAsia" w:ascii="仿宋" w:hAnsi="仿宋" w:eastAsia="仿宋" w:cs="仿宋"/>
          <w:color w:val="auto"/>
          <w:sz w:val="30"/>
          <w:szCs w:val="30"/>
          <w:lang w:val="en-US" w:eastAsia="zh-CN"/>
        </w:rPr>
        <w:t>1</w:t>
      </w:r>
    </w:p>
    <w:p>
      <w:pPr>
        <w:widowControl w:val="0"/>
        <w:shd w:val="clear" w:color="auto" w:fill="auto"/>
        <w:spacing w:line="560" w:lineRule="exact"/>
        <w:jc w:val="center"/>
        <w:rPr>
          <w:rFonts w:hint="eastAsia" w:ascii="方正小标宋简体" w:eastAsia="方正小标宋简体"/>
          <w:color w:val="auto"/>
          <w:kern w:val="0"/>
          <w:sz w:val="36"/>
          <w:szCs w:val="36"/>
          <w:highlight w:val="none"/>
        </w:rPr>
      </w:pPr>
      <w:r>
        <w:rPr>
          <w:rFonts w:hint="eastAsia" w:ascii="方正小标宋简体" w:eastAsia="方正小标宋简体"/>
          <w:color w:val="auto"/>
          <w:kern w:val="0"/>
          <w:sz w:val="36"/>
          <w:szCs w:val="36"/>
          <w:highlight w:val="none"/>
          <w:lang w:eastAsia="zh-CN"/>
        </w:rPr>
        <w:t>辽阳市</w:t>
      </w:r>
      <w:r>
        <w:rPr>
          <w:rFonts w:hint="eastAsia" w:ascii="方正小标宋简体" w:eastAsia="方正小标宋简体"/>
          <w:color w:val="auto"/>
          <w:kern w:val="0"/>
          <w:sz w:val="36"/>
          <w:szCs w:val="36"/>
          <w:highlight w:val="none"/>
        </w:rPr>
        <w:t>存量房交易计税价格争议处理办法</w:t>
      </w:r>
      <w:r>
        <w:rPr>
          <w:rFonts w:hint="eastAsia" w:ascii="方正小标宋简体" w:eastAsia="方正小标宋简体"/>
          <w:color w:val="auto"/>
          <w:kern w:val="0"/>
          <w:sz w:val="36"/>
          <w:szCs w:val="36"/>
          <w:highlight w:val="none"/>
          <w:lang w:eastAsia="zh-CN"/>
        </w:rPr>
        <w:t>（征求意见稿）</w:t>
      </w:r>
    </w:p>
    <w:p>
      <w:pPr>
        <w:keepNext w:val="0"/>
        <w:keepLines w:val="0"/>
        <w:pageBreakBefore w:val="0"/>
        <w:widowControl w:val="0"/>
        <w:shd w:val="clear" w:color="auto" w:fill="auto"/>
        <w:kinsoku/>
        <w:overflowPunct/>
        <w:topLinePunct w:val="0"/>
        <w:autoSpaceDE/>
        <w:autoSpaceDN/>
        <w:bidi w:val="0"/>
        <w:adjustRightInd/>
        <w:snapToGrid/>
        <w:spacing w:before="0" w:beforeAutospacing="0" w:after="0" w:afterLines="0" w:afterAutospacing="0" w:line="576" w:lineRule="exact"/>
        <w:jc w:val="center"/>
        <w:textAlignment w:val="auto"/>
        <w:rPr>
          <w:rFonts w:hint="eastAsia" w:ascii="方正小标宋简体" w:eastAsia="方正小标宋简体"/>
          <w:color w:val="auto"/>
          <w:kern w:val="0"/>
          <w:sz w:val="32"/>
          <w:szCs w:val="32"/>
          <w:highlight w:val="none"/>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kern w:val="2"/>
          <w:sz w:val="24"/>
          <w:szCs w:val="24"/>
          <w:highlight w:val="none"/>
          <w:lang w:val="en-US" w:eastAsia="zh-CN" w:bidi="ar-SA"/>
        </w:rPr>
        <w:t xml:space="preserve">第一条 </w:t>
      </w:r>
      <w:r>
        <w:rPr>
          <w:rFonts w:hint="eastAsia" w:ascii="宋体" w:hAnsi="宋体" w:eastAsia="宋体" w:cs="宋体"/>
          <w:color w:val="auto"/>
          <w:kern w:val="2"/>
          <w:sz w:val="24"/>
          <w:szCs w:val="24"/>
          <w:highlight w:val="none"/>
          <w:lang w:val="en-US" w:eastAsia="zh-CN" w:bidi="ar-SA"/>
        </w:rPr>
        <w:t>为进一步规范存量房交易申报纳税行为，体现依法、公正、公平治税原则，保障纳税人合法权益，依据《中华人民共和国税收征收管理法》《中华人民共和国税收征收管理法实施细则》《国家发改委 国家税务总局关于开展涉税财物价格认定工作的指导意见》（发改价格〔2010〕770号）、《财政部 国家税务总局关于推进应用房地产评估技术加强存量房交易税收征管工作的通知》（财税〔2010〕105号）、《关于推广应用房地产估价技术加强存量房交易税收征管工作的通知》（财税〔2011〕61号）、《国家税务总局关于进一步加强存量房交易税收征管工作的通知》（税总发〔2013〕129号）、《辽宁省物价局 辽宁省国家税务局 辽宁省地方税务局 辽宁省财政厅关于印发&lt;辽宁省涉税财物价格认定管理办法&gt;的通知》（辽价发〔2010〕83号）等相关法律法规规定，结合我市实际，制定本办法（以下简称“办法”）。</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第二条 </w:t>
      </w:r>
      <w:r>
        <w:rPr>
          <w:rFonts w:hint="eastAsia" w:ascii="宋体" w:hAnsi="宋体" w:eastAsia="宋体" w:cs="宋体"/>
          <w:color w:val="auto"/>
          <w:kern w:val="2"/>
          <w:sz w:val="24"/>
          <w:szCs w:val="24"/>
          <w:highlight w:val="none"/>
          <w:lang w:val="en-US" w:eastAsia="zh-CN" w:bidi="ar-SA"/>
        </w:rPr>
        <w:t>在我市范围内发生的存量房权属转移业务（包括买卖、交换、抵债、作价入股、划转、赠与、继承和析产等业务），纳税人对主管税务机关核定计税价格有异议且要求进行调整的，适用本办法。</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第三条 </w:t>
      </w:r>
      <w:r>
        <w:rPr>
          <w:rFonts w:hint="eastAsia" w:ascii="宋体" w:hAnsi="宋体" w:eastAsia="宋体" w:cs="宋体"/>
          <w:color w:val="auto"/>
          <w:kern w:val="2"/>
          <w:sz w:val="24"/>
          <w:szCs w:val="24"/>
          <w:highlight w:val="none"/>
          <w:lang w:val="en-US" w:eastAsia="zh-CN" w:bidi="ar-SA"/>
        </w:rPr>
        <w:t>本办法所称存量房是指已取得不动产权证书（含房屋所有权证书）并可上市交易的房屋，包括住宅、商业用房、办公用房、车位（车库）、工业用房等房产类型及该房产所属土地。</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土地单独交易参考此办法。</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第四条 </w:t>
      </w:r>
      <w:r>
        <w:rPr>
          <w:rFonts w:hint="eastAsia" w:ascii="宋体" w:hAnsi="宋体" w:eastAsia="宋体" w:cs="宋体"/>
          <w:color w:val="auto"/>
          <w:kern w:val="2"/>
          <w:sz w:val="24"/>
          <w:szCs w:val="24"/>
          <w:highlight w:val="none"/>
          <w:lang w:val="en-US" w:eastAsia="zh-CN" w:bidi="ar-SA"/>
        </w:rPr>
        <w:t>本办法所称存量房交易计税价格争议，是指:</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（一）进行存量房交易的单位和个人（以下简称纳税人）对主管税务机关核定的交易计税价格持有异议，并要求主管税务机关依法重新核定计税价格的行为；</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（二）主管税务机关对纳税人提供的申报价格明显偏低有异议，需要重新核定计税价格的行为。</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第五条 </w:t>
      </w:r>
      <w:r>
        <w:rPr>
          <w:rFonts w:hint="eastAsia" w:ascii="宋体" w:hAnsi="宋体" w:eastAsia="宋体" w:cs="宋体"/>
          <w:color w:val="auto"/>
          <w:kern w:val="2"/>
          <w:sz w:val="24"/>
          <w:szCs w:val="24"/>
          <w:highlight w:val="none"/>
          <w:lang w:val="en-US" w:eastAsia="zh-CN" w:bidi="ar-SA"/>
        </w:rPr>
        <w:t>纳税人申报的存量房交易价格为交易双方签订的合同所列金额（不包括列明的增值税税款）。</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税务机关对纳税人所申报的存量房交易价格要进行全面评估，核定计税价格可参照存量房申报价格和评估值比较确定。</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第六条 </w:t>
      </w:r>
      <w:r>
        <w:rPr>
          <w:rFonts w:hint="eastAsia" w:ascii="宋体" w:hAnsi="宋体" w:eastAsia="宋体" w:cs="宋体"/>
          <w:color w:val="auto"/>
          <w:kern w:val="2"/>
          <w:sz w:val="24"/>
          <w:szCs w:val="24"/>
          <w:highlight w:val="none"/>
          <w:lang w:val="en-US" w:eastAsia="zh-CN" w:bidi="ar-SA"/>
        </w:rPr>
        <w:t>纳入税务机关存量房交易价格评估系统实现自动核价管理的存量房交易,纳税人申报的合同价格低于税务机关存量房交易价格评估系统（以下简称“评估系统”）价格评估值且无正当理由的，按评估系统价格评估值核定征税。</w:t>
      </w:r>
    </w:p>
    <w:p>
      <w:pPr>
        <w:pStyle w:val="2"/>
        <w:keepNext w:val="0"/>
        <w:keepLines w:val="0"/>
        <w:pageBreakBefore w:val="0"/>
        <w:widowControl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评估系统价格评估值是由税务部门委托房地产估价机构，根据房屋的实物、区位、权益等影响因素，遵循房地产估价相关规范和标准评估得出。税务机关以该价格作为判断纳税人申报的合同价格是否明显偏低的主要参考依据，并根据房地产市场情况定期进行动态价格更新。</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第七条 </w:t>
      </w:r>
      <w:r>
        <w:rPr>
          <w:rFonts w:hint="eastAsia" w:ascii="宋体" w:hAnsi="宋体" w:eastAsia="宋体" w:cs="宋体"/>
          <w:color w:val="auto"/>
          <w:kern w:val="2"/>
          <w:sz w:val="24"/>
          <w:szCs w:val="24"/>
          <w:highlight w:val="none"/>
          <w:lang w:val="en-US" w:eastAsia="zh-CN" w:bidi="ar-SA"/>
        </w:rPr>
        <w:t>未纳入评估系统实现自动核价管理的存量房地产交易，税务机关可依次采用以下方式核定计税价格：</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（一）参考纳税人提供的涉税房地产评估报告确定计税价格。</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（二）向所在地价格主管部门或其所属的价格认证机构（以下简称价格认证机构）提请涉税房地产价格认定协助。价格认证机构出具的不动产价格认定结论经税务机关确认后，可作为房地产交易的计税价格。</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（三）其他合理方法确定。</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第八条 </w:t>
      </w:r>
      <w:r>
        <w:rPr>
          <w:rFonts w:hint="eastAsia" w:ascii="宋体" w:hAnsi="宋体" w:eastAsia="宋体" w:cs="宋体"/>
          <w:color w:val="auto"/>
          <w:kern w:val="2"/>
          <w:sz w:val="24"/>
          <w:szCs w:val="24"/>
          <w:highlight w:val="none"/>
          <w:lang w:val="en-US" w:eastAsia="zh-CN" w:bidi="ar-SA"/>
        </w:rPr>
        <w:t>有下列情形之一的，税务机关可不经评估，直接按纳税人申报的交易价格征收税款：</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（一）以人民法院生效判决、裁定和仲裁机构生效裁决载明的房屋权属转移价格作为申报计税价格的（法院或仲裁机构仅对权属转移书据的合法性、有效性进行裁决的除外）。</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（二）经具有合法资质的拍卖机构依法公开拍卖，以拍卖成交确认价格作为申报计税价格的；经全国公共资源交易平台公开竞拍，以竞拍成交价格作为申报计税价格的。</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（三）国有单位存量房转让，成交价格经过各级财政、国资部门或政府其他职能部门批准、认定的。</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（四）中、省直企业存量房转让，成交价格经过企业总部在国有资产监督管理权限范围内批准、认定的。</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 xml:space="preserve"> 属于第（一）（二）项情形的，纳税人应提交法院判决书、裁定书、仲裁机构裁决书、拍卖公告、拍卖成交确认书等相关证明资料; 属于第（三）（四）项情形的，纳税人应提交各级财政、国资部门或政府其他职能部门批准、认定、批复成交价格的相关证明资料。</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纳税人缴纳税款后，因第（一）（三）（四）项情形的裁决、裁定、批准、认定、批复等内容后续发生变化，导致计税价格变化的，按照变化后价格申报和补缴税款。</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Lines="0" w:afterAutospacing="0" w:line="416" w:lineRule="exact"/>
        <w:ind w:right="0" w:firstLine="482"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第九条 </w:t>
      </w:r>
      <w:r>
        <w:rPr>
          <w:rFonts w:hint="eastAsia" w:ascii="宋体" w:hAnsi="宋体" w:eastAsia="宋体" w:cs="宋体"/>
          <w:color w:val="auto"/>
          <w:kern w:val="2"/>
          <w:sz w:val="24"/>
          <w:szCs w:val="24"/>
          <w:highlight w:val="none"/>
          <w:lang w:val="en-US" w:eastAsia="zh-CN" w:bidi="ar-SA"/>
        </w:rPr>
        <w:t>因下列情形之一，致使申报交易价格低于“评估系统”价格评估值的，纳税人应当在收到税务机关核定计税价格相关文书签字确认前，向</w:t>
      </w:r>
      <w:r>
        <w:rPr>
          <w:rFonts w:hint="eastAsia" w:ascii="宋体" w:hAnsi="宋体" w:cs="宋体"/>
          <w:color w:val="auto"/>
          <w:kern w:val="2"/>
          <w:sz w:val="24"/>
          <w:szCs w:val="24"/>
          <w:highlight w:val="none"/>
          <w:lang w:val="en-US" w:eastAsia="zh-CN" w:bidi="ar-SA"/>
        </w:rPr>
        <w:t>主管税务</w:t>
      </w:r>
      <w:r>
        <w:rPr>
          <w:rFonts w:hint="eastAsia" w:ascii="宋体" w:hAnsi="宋体" w:eastAsia="宋体" w:cs="宋体"/>
          <w:color w:val="auto"/>
          <w:kern w:val="2"/>
          <w:sz w:val="24"/>
          <w:szCs w:val="24"/>
          <w:highlight w:val="none"/>
          <w:lang w:val="en-US" w:eastAsia="zh-CN" w:bidi="ar-SA"/>
        </w:rPr>
        <w:t>机关提出争议处理申请,不提交视为无异议：</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（一）因交易房屋曾发生重大意外事件或者存在功能性结构破损等严重质量问题影响交易价格的。</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（二）税务机关认可的其他情形。</w:t>
      </w:r>
    </w:p>
    <w:p>
      <w:pPr>
        <w:pStyle w:val="3"/>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第十条 </w:t>
      </w:r>
      <w:r>
        <w:rPr>
          <w:rFonts w:hint="eastAsia" w:ascii="宋体" w:hAnsi="宋体" w:eastAsia="宋体" w:cs="宋体"/>
          <w:color w:val="auto"/>
          <w:kern w:val="2"/>
          <w:sz w:val="24"/>
          <w:szCs w:val="24"/>
          <w:highlight w:val="none"/>
          <w:lang w:val="en-US" w:eastAsia="zh-CN" w:bidi="ar-SA"/>
        </w:rPr>
        <w:t>纳税人提出争议处理申请，应当填写《存量房交易核定计税价格争议处理申请表》（附1）（以下简称《申请表》），书面陈述申请理由并提供相关证明资料。</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Lines="0" w:afterAutospacing="0" w:line="416" w:lineRule="exact"/>
        <w:ind w:right="0" w:firstLine="482"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第十一条 </w:t>
      </w:r>
      <w:r>
        <w:rPr>
          <w:rFonts w:hint="eastAsia" w:ascii="宋体" w:hAnsi="宋体" w:cs="宋体"/>
          <w:color w:val="auto"/>
          <w:kern w:val="2"/>
          <w:sz w:val="24"/>
          <w:szCs w:val="24"/>
          <w:highlight w:val="none"/>
          <w:lang w:val="en-US" w:eastAsia="zh-CN" w:bidi="ar-SA"/>
        </w:rPr>
        <w:t>主管</w:t>
      </w:r>
      <w:r>
        <w:rPr>
          <w:rFonts w:hint="eastAsia" w:ascii="宋体" w:hAnsi="宋体" w:eastAsia="宋体" w:cs="宋体"/>
          <w:color w:val="auto"/>
          <w:kern w:val="2"/>
          <w:sz w:val="24"/>
          <w:szCs w:val="24"/>
          <w:highlight w:val="none"/>
          <w:lang w:val="en-US" w:eastAsia="zh-CN" w:bidi="ar-SA"/>
        </w:rPr>
        <w:t>税务机关对纳税人提交的《申请表》及相关证明资料进行初审，对填写内容准确且资料完整齐全的，应予受理。对填写内容不准确或资料不齐全的应当场一次性告知申请人进行补正。</w:t>
      </w:r>
    </w:p>
    <w:p>
      <w:pPr>
        <w:pStyle w:val="3"/>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第十二条 </w:t>
      </w:r>
      <w:r>
        <w:rPr>
          <w:rFonts w:hint="eastAsia" w:ascii="宋体" w:hAnsi="宋体" w:cs="宋体"/>
          <w:color w:val="auto"/>
          <w:kern w:val="2"/>
          <w:sz w:val="24"/>
          <w:szCs w:val="24"/>
          <w:highlight w:val="none"/>
          <w:lang w:val="en-US" w:eastAsia="zh-CN" w:bidi="ar-SA"/>
        </w:rPr>
        <w:t>主管</w:t>
      </w:r>
      <w:r>
        <w:rPr>
          <w:rFonts w:hint="eastAsia" w:ascii="宋体" w:hAnsi="宋体" w:eastAsia="宋体" w:cs="宋体"/>
          <w:color w:val="auto"/>
          <w:kern w:val="2"/>
          <w:sz w:val="24"/>
          <w:szCs w:val="24"/>
          <w:highlight w:val="none"/>
          <w:lang w:val="en-US" w:eastAsia="zh-CN" w:bidi="ar-SA"/>
        </w:rPr>
        <w:t>税务机关收到存量房交易计税价格争议处理申请之日起10个工作日内，对申请理由和相关证明资料进行审核，按照下列规定作出处理，并在规定期限内向纳税人送达《税务事项通知书（适用于通知存量房交易计税价格争议处理决定）》（附2）。情况复杂无法按时办结的，经主管税务机关负责人批准，可适当延长时限，但延长期限不得超过10个工作日。</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（一）纳税人提出的理由正当且相关证明资料真实充分的，以申报交易价格作为计税价格。</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（二）纳税人提出的理由不正当或者相关证明资料不充分的，以税务机关核定的价格作为计税价格。</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（三）税务机关审核纳税人提供的书面证明材料时，认为需要采取实地调查程序的，可组织有资质的评估机构共同进行实地调查，根据实地调查情况对系统核定的价格进行修正，并以修正后的价格作为计税价格。</w:t>
      </w:r>
    </w:p>
    <w:p>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Lines="0" w:afterAutospacing="0" w:line="416" w:lineRule="exact"/>
        <w:ind w:left="0" w:right="0" w:firstLine="482"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第十三条 </w:t>
      </w:r>
      <w:r>
        <w:rPr>
          <w:rFonts w:hint="eastAsia" w:ascii="宋体" w:hAnsi="宋体" w:eastAsia="宋体" w:cs="宋体"/>
          <w:color w:val="auto"/>
          <w:kern w:val="2"/>
          <w:sz w:val="24"/>
          <w:szCs w:val="24"/>
          <w:highlight w:val="none"/>
          <w:lang w:val="en-US" w:eastAsia="zh-CN" w:bidi="ar-SA"/>
        </w:rPr>
        <w:t>纳税人对税务机关的争议处理结果不服，选择继续交易的，按照《中华人民共和国税收征收管理法》第八十八条第一款规定，必须</w:t>
      </w:r>
      <w:r>
        <w:rPr>
          <w:rFonts w:hint="eastAsia" w:ascii="宋体" w:hAnsi="宋体" w:cs="宋体"/>
          <w:color w:val="auto"/>
          <w:kern w:val="2"/>
          <w:sz w:val="24"/>
          <w:szCs w:val="24"/>
          <w:highlight w:val="none"/>
          <w:lang w:val="en-US" w:eastAsia="zh-CN" w:bidi="ar-SA"/>
        </w:rPr>
        <w:t>先</w:t>
      </w:r>
      <w:r>
        <w:rPr>
          <w:rFonts w:hint="eastAsia" w:ascii="宋体" w:hAnsi="宋体" w:eastAsia="宋体" w:cs="宋体"/>
          <w:color w:val="auto"/>
          <w:kern w:val="2"/>
          <w:sz w:val="24"/>
          <w:szCs w:val="24"/>
          <w:highlight w:val="none"/>
          <w:lang w:val="en-US" w:eastAsia="zh-CN" w:bidi="ar-SA"/>
        </w:rPr>
        <w:t>依照税务机关</w:t>
      </w:r>
      <w:r>
        <w:rPr>
          <w:rFonts w:hint="eastAsia" w:ascii="宋体" w:hAnsi="宋体" w:cs="宋体"/>
          <w:color w:val="auto"/>
          <w:kern w:val="2"/>
          <w:sz w:val="24"/>
          <w:szCs w:val="24"/>
          <w:highlight w:val="none"/>
          <w:lang w:val="en-US" w:eastAsia="zh-CN" w:bidi="ar-SA"/>
        </w:rPr>
        <w:t>的纳税决定缴纳或解缴税款及滞纳金或者</w:t>
      </w:r>
      <w:r>
        <w:rPr>
          <w:rFonts w:hint="eastAsia" w:ascii="宋体" w:hAnsi="宋体" w:eastAsia="宋体" w:cs="宋体"/>
          <w:color w:val="auto"/>
          <w:kern w:val="2"/>
          <w:sz w:val="24"/>
          <w:szCs w:val="24"/>
          <w:highlight w:val="none"/>
          <w:lang w:val="en-US" w:eastAsia="zh-CN" w:bidi="ar-SA"/>
        </w:rPr>
        <w:t>提供相应的担保，然后可以依法申请行政复议；对行政复议决定不服的，可以依法向人民法院起诉。</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第十四条 </w:t>
      </w:r>
      <w:r>
        <w:rPr>
          <w:rFonts w:hint="eastAsia" w:ascii="宋体" w:hAnsi="宋体" w:eastAsia="宋体" w:cs="宋体"/>
          <w:color w:val="auto"/>
          <w:kern w:val="2"/>
          <w:sz w:val="24"/>
          <w:szCs w:val="24"/>
          <w:highlight w:val="none"/>
          <w:lang w:val="en-US" w:eastAsia="zh-CN" w:bidi="ar-SA"/>
        </w:rPr>
        <w:t>税务机关应当在纳税人办理存量房交易税收纳税申报时，告知其享有按照本公告提出争议处理申请的权利，以及故意办理虚假的纳税申报应当承担的法律责任。</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2"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第十五条 </w:t>
      </w:r>
      <w:r>
        <w:rPr>
          <w:rFonts w:hint="eastAsia" w:ascii="宋体" w:hAnsi="宋体" w:eastAsia="宋体" w:cs="宋体"/>
          <w:color w:val="auto"/>
          <w:kern w:val="2"/>
          <w:sz w:val="24"/>
          <w:szCs w:val="24"/>
          <w:highlight w:val="none"/>
          <w:lang w:val="en-US" w:eastAsia="zh-CN" w:bidi="ar-SA"/>
        </w:rPr>
        <w:t>存量房交易双方应如实向税务机关进行纳税申报，通过订立虚假合同低报成交价格，不缴或者少缴应纳税款的，按照《中华人民共和国税收征收管理法》第六十三条规定处理。</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602" w:firstLineChars="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 xml:space="preserve">第十六条 </w:t>
      </w:r>
      <w:r>
        <w:rPr>
          <w:rFonts w:hint="eastAsia" w:ascii="宋体" w:hAnsi="宋体" w:eastAsia="宋体" w:cs="宋体"/>
          <w:color w:val="auto"/>
          <w:kern w:val="2"/>
          <w:sz w:val="24"/>
          <w:szCs w:val="24"/>
          <w:highlight w:val="none"/>
          <w:lang w:val="en-US" w:eastAsia="zh-CN" w:bidi="ar-SA"/>
        </w:rPr>
        <w:t>本办法自发布之日起施行，实施后如遇国家法律、法规调整，按国家法律、法规执行。</w:t>
      </w: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416" w:lineRule="exact"/>
        <w:ind w:firstLine="480" w:firstLineChars="200"/>
        <w:textAlignment w:val="auto"/>
        <w:rPr>
          <w:rFonts w:hint="eastAsia" w:ascii="宋体" w:hAnsi="宋体" w:eastAsia="宋体" w:cs="宋体"/>
          <w:color w:val="auto"/>
          <w:kern w:val="2"/>
          <w:sz w:val="24"/>
          <w:szCs w:val="24"/>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2"/>
        <w:keepNext w:val="0"/>
        <w:keepLines w:val="0"/>
        <w:pageBreakBefore w:val="0"/>
        <w:widowControl w:val="0"/>
        <w:kinsoku/>
        <w:overflowPunct/>
        <w:topLinePunct w:val="0"/>
        <w:autoSpaceDE/>
        <w:autoSpaceDN/>
        <w:bidi w:val="0"/>
        <w:adjustRightInd/>
        <w:snapToGrid/>
        <w:spacing w:before="0" w:beforeAutospacing="0" w:after="0" w:afterLines="0" w:afterAutospacing="0" w:line="576" w:lineRule="exact"/>
        <w:ind w:firstLine="560" w:firstLineChars="200"/>
        <w:textAlignment w:val="auto"/>
        <w:rPr>
          <w:rFonts w:hint="default" w:ascii="仿宋" w:hAnsi="仿宋" w:eastAsia="仿宋" w:cs="仿宋"/>
          <w:color w:val="auto"/>
          <w:kern w:val="2"/>
          <w:sz w:val="28"/>
          <w:szCs w:val="28"/>
          <w:highlight w:val="none"/>
          <w:lang w:val="en-US" w:eastAsia="zh-CN" w:bidi="ar-SA"/>
        </w:rPr>
      </w:pPr>
    </w:p>
    <w:p>
      <w:pPr>
        <w:pStyle w:val="3"/>
        <w:bidi w:val="0"/>
        <w:spacing w:line="560" w:lineRule="exact"/>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rPr>
        <w:t>附</w:t>
      </w:r>
      <w:r>
        <w:rPr>
          <w:rFonts w:hint="eastAsia" w:ascii="黑体" w:hAnsi="黑体" w:eastAsia="黑体" w:cs="黑体"/>
          <w:color w:val="auto"/>
          <w:sz w:val="32"/>
          <w:szCs w:val="32"/>
          <w:highlight w:val="none"/>
          <w:lang w:val="en-US" w:eastAsia="zh-CN"/>
        </w:rPr>
        <w:t>1</w:t>
      </w:r>
    </w:p>
    <w:tbl>
      <w:tblPr>
        <w:tblStyle w:val="5"/>
        <w:tblW w:w="0" w:type="auto"/>
        <w:tblInd w:w="78" w:type="dxa"/>
        <w:tblLayout w:type="fixed"/>
        <w:tblCellMar>
          <w:top w:w="0" w:type="dxa"/>
          <w:left w:w="108" w:type="dxa"/>
          <w:bottom w:w="0" w:type="dxa"/>
          <w:right w:w="108" w:type="dxa"/>
        </w:tblCellMar>
      </w:tblPr>
      <w:tblGrid>
        <w:gridCol w:w="2049"/>
        <w:gridCol w:w="2623"/>
        <w:gridCol w:w="2034"/>
        <w:gridCol w:w="2680"/>
      </w:tblGrid>
      <w:tr>
        <w:tblPrEx>
          <w:tblCellMar>
            <w:top w:w="0" w:type="dxa"/>
            <w:left w:w="108" w:type="dxa"/>
            <w:bottom w:w="0" w:type="dxa"/>
            <w:right w:w="108" w:type="dxa"/>
          </w:tblCellMar>
        </w:tblPrEx>
        <w:trPr>
          <w:trHeight w:val="850" w:hRule="atLeast"/>
        </w:trPr>
        <w:tc>
          <w:tcPr>
            <w:tcW w:w="9386" w:type="dxa"/>
            <w:gridSpan w:val="4"/>
            <w:tcBorders>
              <w:top w:val="nil"/>
              <w:left w:val="nil"/>
              <w:bottom w:val="nil"/>
              <w:right w:val="nil"/>
            </w:tcBorders>
            <w:noWrap w:val="0"/>
            <w:vAlign w:val="top"/>
          </w:tcPr>
          <w:p>
            <w:pPr>
              <w:autoSpaceDE w:val="0"/>
              <w:autoSpaceDN w:val="0"/>
              <w:spacing w:line="560" w:lineRule="exact"/>
              <w:jc w:val="center"/>
              <w:rPr>
                <w:rFonts w:ascii="宋体" w:hAnsi="宋体"/>
                <w:b/>
                <w:color w:val="auto"/>
                <w:sz w:val="36"/>
                <w:highlight w:val="none"/>
              </w:rPr>
            </w:pPr>
            <w:r>
              <w:rPr>
                <w:rFonts w:hint="eastAsia" w:ascii="宋体" w:hAnsi="宋体"/>
                <w:b/>
                <w:color w:val="auto"/>
                <w:sz w:val="36"/>
                <w:highlight w:val="none"/>
              </w:rPr>
              <w:t>存量房交易</w:t>
            </w:r>
            <w:r>
              <w:rPr>
                <w:rFonts w:hint="eastAsia" w:ascii="宋体" w:hAnsi="宋体"/>
                <w:b/>
                <w:color w:val="auto"/>
                <w:sz w:val="36"/>
                <w:highlight w:val="none"/>
                <w:lang w:eastAsia="zh-CN"/>
              </w:rPr>
              <w:t>核定</w:t>
            </w:r>
            <w:r>
              <w:rPr>
                <w:rFonts w:hint="eastAsia" w:ascii="宋体" w:hAnsi="宋体"/>
                <w:b/>
                <w:color w:val="auto"/>
                <w:sz w:val="36"/>
                <w:highlight w:val="none"/>
              </w:rPr>
              <w:t>计税价格争议处理申请表</w:t>
            </w:r>
          </w:p>
        </w:tc>
      </w:tr>
      <w:tr>
        <w:tblPrEx>
          <w:tblCellMar>
            <w:top w:w="0" w:type="dxa"/>
            <w:left w:w="108" w:type="dxa"/>
            <w:bottom w:w="0" w:type="dxa"/>
            <w:right w:w="108" w:type="dxa"/>
          </w:tblCellMar>
        </w:tblPrEx>
        <w:trPr>
          <w:trHeight w:val="573" w:hRule="atLeast"/>
        </w:trPr>
        <w:tc>
          <w:tcPr>
            <w:tcW w:w="204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申请人</w:t>
            </w:r>
          </w:p>
        </w:tc>
        <w:tc>
          <w:tcPr>
            <w:tcW w:w="262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证件号码</w:t>
            </w:r>
          </w:p>
        </w:tc>
        <w:tc>
          <w:tcPr>
            <w:tcW w:w="268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p>
        </w:tc>
      </w:tr>
      <w:tr>
        <w:tblPrEx>
          <w:tblCellMar>
            <w:top w:w="0" w:type="dxa"/>
            <w:left w:w="108" w:type="dxa"/>
            <w:bottom w:w="0" w:type="dxa"/>
            <w:right w:w="108" w:type="dxa"/>
          </w:tblCellMar>
        </w:tblPrEx>
        <w:trPr>
          <w:trHeight w:val="677" w:hRule="atLeast"/>
        </w:trPr>
        <w:tc>
          <w:tcPr>
            <w:tcW w:w="204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交易时间</w:t>
            </w:r>
          </w:p>
        </w:tc>
        <w:tc>
          <w:tcPr>
            <w:tcW w:w="262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lang w:val="en-US" w:eastAsia="zh-CN"/>
              </w:rPr>
              <w:t xml:space="preserve">     </w:t>
            </w:r>
            <w:r>
              <w:rPr>
                <w:rFonts w:hint="eastAsia" w:ascii="宋体" w:hAnsi="宋体"/>
                <w:color w:val="auto"/>
                <w:sz w:val="24"/>
                <w:highlight w:val="none"/>
              </w:rPr>
              <w:t xml:space="preserve">  年  月   日</w:t>
            </w:r>
          </w:p>
        </w:tc>
        <w:tc>
          <w:tcPr>
            <w:tcW w:w="203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联系电话</w:t>
            </w:r>
          </w:p>
        </w:tc>
        <w:tc>
          <w:tcPr>
            <w:tcW w:w="268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p>
        </w:tc>
      </w:tr>
      <w:tr>
        <w:tblPrEx>
          <w:tblCellMar>
            <w:top w:w="0" w:type="dxa"/>
            <w:left w:w="108" w:type="dxa"/>
            <w:bottom w:w="0" w:type="dxa"/>
            <w:right w:w="108" w:type="dxa"/>
          </w:tblCellMar>
        </w:tblPrEx>
        <w:trPr>
          <w:trHeight w:val="586" w:hRule="atLeast"/>
        </w:trPr>
        <w:tc>
          <w:tcPr>
            <w:tcW w:w="204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产权证编号</w:t>
            </w:r>
          </w:p>
        </w:tc>
        <w:tc>
          <w:tcPr>
            <w:tcW w:w="262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rPr>
              <w:t xml:space="preserve"> </w:t>
            </w:r>
          </w:p>
        </w:tc>
        <w:tc>
          <w:tcPr>
            <w:tcW w:w="203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房屋面积</w:t>
            </w:r>
          </w:p>
        </w:tc>
        <w:tc>
          <w:tcPr>
            <w:tcW w:w="268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lang w:val="en-US" w:eastAsia="zh-CN"/>
              </w:rPr>
              <w:t xml:space="preserve">             </w:t>
            </w:r>
            <w:r>
              <w:rPr>
                <w:rFonts w:hint="eastAsia" w:ascii="宋体" w:hAnsi="宋体"/>
                <w:color w:val="auto"/>
                <w:sz w:val="24"/>
                <w:highlight w:val="none"/>
              </w:rPr>
              <w:t xml:space="preserve">   ㎡</w:t>
            </w:r>
          </w:p>
        </w:tc>
      </w:tr>
      <w:tr>
        <w:tblPrEx>
          <w:tblCellMar>
            <w:top w:w="0" w:type="dxa"/>
            <w:left w:w="108" w:type="dxa"/>
            <w:bottom w:w="0" w:type="dxa"/>
            <w:right w:w="108" w:type="dxa"/>
          </w:tblCellMar>
        </w:tblPrEx>
        <w:trPr>
          <w:trHeight w:val="636" w:hRule="atLeast"/>
        </w:trPr>
        <w:tc>
          <w:tcPr>
            <w:tcW w:w="204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房屋详细地址</w:t>
            </w:r>
          </w:p>
        </w:tc>
        <w:tc>
          <w:tcPr>
            <w:tcW w:w="7337" w:type="dxa"/>
            <w:gridSpan w:val="3"/>
            <w:tcBorders>
              <w:top w:val="single" w:color="auto" w:sz="4" w:space="0"/>
              <w:left w:val="single" w:color="auto" w:sz="4" w:space="0"/>
              <w:bottom w:val="single" w:color="auto" w:sz="4" w:space="0"/>
              <w:right w:val="single" w:color="auto" w:sz="4" w:space="0"/>
            </w:tcBorders>
            <w:noWrap w:val="0"/>
            <w:vAlign w:val="top"/>
          </w:tcPr>
          <w:p>
            <w:pPr>
              <w:autoSpaceDE w:val="0"/>
              <w:autoSpaceDN w:val="0"/>
              <w:spacing w:line="560" w:lineRule="exact"/>
              <w:jc w:val="center"/>
              <w:rPr>
                <w:rFonts w:ascii="宋体" w:hAnsi="宋体"/>
                <w:color w:val="auto"/>
                <w:sz w:val="24"/>
                <w:highlight w:val="none"/>
              </w:rPr>
            </w:pPr>
          </w:p>
        </w:tc>
      </w:tr>
      <w:tr>
        <w:tblPrEx>
          <w:tblCellMar>
            <w:top w:w="0" w:type="dxa"/>
            <w:left w:w="108" w:type="dxa"/>
            <w:bottom w:w="0" w:type="dxa"/>
            <w:right w:w="108" w:type="dxa"/>
          </w:tblCellMar>
        </w:tblPrEx>
        <w:trPr>
          <w:trHeight w:val="554" w:hRule="atLeast"/>
        </w:trPr>
        <w:tc>
          <w:tcPr>
            <w:tcW w:w="204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rPr>
              <w:t>申报交易总金额</w:t>
            </w:r>
          </w:p>
        </w:tc>
        <w:tc>
          <w:tcPr>
            <w:tcW w:w="262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rPr>
              <w:t>元</w:t>
            </w:r>
          </w:p>
        </w:tc>
        <w:tc>
          <w:tcPr>
            <w:tcW w:w="203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rPr>
              <w:t>核定计税总金额</w:t>
            </w:r>
          </w:p>
        </w:tc>
        <w:tc>
          <w:tcPr>
            <w:tcW w:w="268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right"/>
              <w:rPr>
                <w:rFonts w:ascii="宋体" w:hAnsi="宋体"/>
                <w:color w:val="auto"/>
                <w:sz w:val="24"/>
                <w:highlight w:val="none"/>
              </w:rPr>
            </w:pPr>
            <w:r>
              <w:rPr>
                <w:rFonts w:hint="eastAsia" w:ascii="宋体" w:hAnsi="宋体"/>
                <w:color w:val="auto"/>
                <w:sz w:val="24"/>
                <w:highlight w:val="none"/>
              </w:rPr>
              <w:t>元</w:t>
            </w:r>
          </w:p>
        </w:tc>
      </w:tr>
      <w:tr>
        <w:tblPrEx>
          <w:tblCellMar>
            <w:top w:w="0" w:type="dxa"/>
            <w:left w:w="108" w:type="dxa"/>
            <w:bottom w:w="0" w:type="dxa"/>
            <w:right w:w="108" w:type="dxa"/>
          </w:tblCellMar>
        </w:tblPrEx>
        <w:trPr>
          <w:trHeight w:val="998" w:hRule="atLeast"/>
        </w:trPr>
        <w:tc>
          <w:tcPr>
            <w:tcW w:w="204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争议</w:t>
            </w:r>
          </w:p>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理由</w:t>
            </w:r>
          </w:p>
        </w:tc>
        <w:tc>
          <w:tcPr>
            <w:tcW w:w="7337" w:type="dxa"/>
            <w:gridSpan w:val="3"/>
            <w:tcBorders>
              <w:top w:val="single" w:color="auto" w:sz="4" w:space="0"/>
              <w:left w:val="single" w:color="auto" w:sz="4" w:space="0"/>
              <w:bottom w:val="single" w:color="auto" w:sz="6" w:space="0"/>
              <w:right w:val="single" w:color="auto" w:sz="6" w:space="0"/>
            </w:tcBorders>
            <w:noWrap w:val="0"/>
            <w:vAlign w:val="top"/>
          </w:tcPr>
          <w:p>
            <w:pPr>
              <w:autoSpaceDE w:val="0"/>
              <w:autoSpaceDN w:val="0"/>
              <w:spacing w:line="560" w:lineRule="exact"/>
              <w:rPr>
                <w:rFonts w:ascii="宋体" w:hAnsi="宋体"/>
                <w:color w:val="auto"/>
                <w:sz w:val="24"/>
                <w:highlight w:val="none"/>
              </w:rPr>
            </w:pPr>
          </w:p>
        </w:tc>
      </w:tr>
      <w:tr>
        <w:tblPrEx>
          <w:tblCellMar>
            <w:top w:w="0" w:type="dxa"/>
            <w:left w:w="108" w:type="dxa"/>
            <w:bottom w:w="0" w:type="dxa"/>
            <w:right w:w="108" w:type="dxa"/>
          </w:tblCellMar>
        </w:tblPrEx>
        <w:trPr>
          <w:trHeight w:val="422" w:hRule="atLeast"/>
        </w:trPr>
        <w:tc>
          <w:tcPr>
            <w:tcW w:w="2049" w:type="dxa"/>
            <w:vMerge w:val="restart"/>
            <w:tcBorders>
              <w:top w:val="single" w:color="auto" w:sz="4" w:space="0"/>
              <w:left w:val="single" w:color="auto" w:sz="4" w:space="0"/>
              <w:bottom w:val="single" w:color="auto" w:sz="4" w:space="0"/>
              <w:right w:val="single" w:color="auto" w:sz="4" w:space="0"/>
            </w:tcBorders>
            <w:noWrap w:val="0"/>
            <w:vAlign w:val="top"/>
          </w:tcPr>
          <w:p>
            <w:pPr>
              <w:autoSpaceDE w:val="0"/>
              <w:autoSpaceDN w:val="0"/>
              <w:spacing w:line="560" w:lineRule="exact"/>
              <w:jc w:val="center"/>
              <w:rPr>
                <w:rFonts w:hint="eastAsia" w:ascii="宋体" w:hAnsi="宋体"/>
                <w:color w:val="auto"/>
                <w:sz w:val="24"/>
                <w:highlight w:val="none"/>
              </w:rPr>
            </w:pPr>
          </w:p>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附列</w:t>
            </w:r>
          </w:p>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资料</w:t>
            </w:r>
          </w:p>
          <w:p>
            <w:pPr>
              <w:autoSpaceDE w:val="0"/>
              <w:autoSpaceDN w:val="0"/>
              <w:spacing w:line="560" w:lineRule="exact"/>
              <w:jc w:val="center"/>
              <w:rPr>
                <w:rFonts w:ascii="宋体" w:hAnsi="宋体"/>
                <w:color w:val="auto"/>
                <w:sz w:val="24"/>
                <w:highlight w:val="none"/>
              </w:rPr>
            </w:pPr>
            <w:r>
              <w:rPr>
                <w:rFonts w:hint="eastAsia" w:ascii="宋体" w:hAnsi="宋体"/>
                <w:color w:val="auto"/>
                <w:sz w:val="24"/>
                <w:highlight w:val="none"/>
              </w:rPr>
              <w:t>清单</w:t>
            </w:r>
          </w:p>
        </w:tc>
        <w:tc>
          <w:tcPr>
            <w:tcW w:w="7337" w:type="dxa"/>
            <w:gridSpan w:val="3"/>
            <w:tcBorders>
              <w:top w:val="single" w:color="auto" w:sz="6" w:space="0"/>
              <w:left w:val="single" w:color="auto" w:sz="4" w:space="0"/>
              <w:bottom w:val="single" w:color="auto" w:sz="6" w:space="0"/>
              <w:right w:val="single" w:color="auto" w:sz="6" w:space="0"/>
            </w:tcBorders>
            <w:noWrap w:val="0"/>
            <w:vAlign w:val="top"/>
          </w:tcPr>
          <w:p>
            <w:pPr>
              <w:autoSpaceDE w:val="0"/>
              <w:autoSpaceDN w:val="0"/>
              <w:spacing w:line="560" w:lineRule="exact"/>
              <w:rPr>
                <w:rFonts w:ascii="宋体" w:hAnsi="宋体"/>
                <w:color w:val="auto"/>
                <w:sz w:val="24"/>
                <w:highlight w:val="none"/>
              </w:rPr>
            </w:pPr>
            <w:r>
              <w:rPr>
                <w:rFonts w:hint="eastAsia" w:ascii="宋体" w:hAnsi="宋体"/>
                <w:color w:val="auto"/>
                <w:sz w:val="24"/>
                <w:highlight w:val="none"/>
              </w:rPr>
              <w:t>1</w:t>
            </w:r>
          </w:p>
        </w:tc>
      </w:tr>
      <w:tr>
        <w:tblPrEx>
          <w:tblCellMar>
            <w:top w:w="0" w:type="dxa"/>
            <w:left w:w="108" w:type="dxa"/>
            <w:bottom w:w="0" w:type="dxa"/>
            <w:right w:w="108" w:type="dxa"/>
          </w:tblCellMar>
        </w:tblPrEx>
        <w:trPr>
          <w:trHeight w:val="400" w:hRule="atLeast"/>
        </w:trPr>
        <w:tc>
          <w:tcPr>
            <w:tcW w:w="2049"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spacing w:line="560" w:lineRule="exact"/>
              <w:jc w:val="center"/>
              <w:rPr>
                <w:rFonts w:ascii="宋体" w:hAnsi="宋体"/>
                <w:color w:val="auto"/>
                <w:sz w:val="24"/>
                <w:highlight w:val="none"/>
              </w:rPr>
            </w:pPr>
          </w:p>
        </w:tc>
        <w:tc>
          <w:tcPr>
            <w:tcW w:w="7337" w:type="dxa"/>
            <w:gridSpan w:val="3"/>
            <w:tcBorders>
              <w:top w:val="single" w:color="auto" w:sz="6" w:space="0"/>
              <w:left w:val="single" w:color="auto" w:sz="4" w:space="0"/>
              <w:bottom w:val="single" w:color="auto" w:sz="6" w:space="0"/>
              <w:right w:val="single" w:color="auto" w:sz="6" w:space="0"/>
            </w:tcBorders>
            <w:noWrap w:val="0"/>
            <w:vAlign w:val="top"/>
          </w:tcPr>
          <w:p>
            <w:pPr>
              <w:autoSpaceDE w:val="0"/>
              <w:autoSpaceDN w:val="0"/>
              <w:spacing w:line="560" w:lineRule="exact"/>
              <w:rPr>
                <w:rFonts w:ascii="宋体" w:hAnsi="宋体"/>
                <w:color w:val="auto"/>
                <w:sz w:val="24"/>
                <w:highlight w:val="none"/>
              </w:rPr>
            </w:pPr>
            <w:r>
              <w:rPr>
                <w:rFonts w:hint="eastAsia" w:ascii="宋体" w:hAnsi="宋体"/>
                <w:color w:val="auto"/>
                <w:sz w:val="24"/>
                <w:highlight w:val="none"/>
              </w:rPr>
              <w:t>2</w:t>
            </w:r>
          </w:p>
        </w:tc>
      </w:tr>
      <w:tr>
        <w:tblPrEx>
          <w:tblCellMar>
            <w:top w:w="0" w:type="dxa"/>
            <w:left w:w="108" w:type="dxa"/>
            <w:bottom w:w="0" w:type="dxa"/>
            <w:right w:w="108" w:type="dxa"/>
          </w:tblCellMar>
        </w:tblPrEx>
        <w:trPr>
          <w:trHeight w:val="420" w:hRule="atLeast"/>
        </w:trPr>
        <w:tc>
          <w:tcPr>
            <w:tcW w:w="2049"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spacing w:line="560" w:lineRule="exact"/>
              <w:jc w:val="center"/>
              <w:rPr>
                <w:rFonts w:ascii="宋体" w:hAnsi="宋体"/>
                <w:color w:val="auto"/>
                <w:sz w:val="24"/>
                <w:highlight w:val="none"/>
              </w:rPr>
            </w:pPr>
          </w:p>
        </w:tc>
        <w:tc>
          <w:tcPr>
            <w:tcW w:w="7337" w:type="dxa"/>
            <w:gridSpan w:val="3"/>
            <w:tcBorders>
              <w:top w:val="single" w:color="auto" w:sz="6" w:space="0"/>
              <w:left w:val="single" w:color="auto" w:sz="4" w:space="0"/>
              <w:bottom w:val="single" w:color="auto" w:sz="6" w:space="0"/>
              <w:right w:val="single" w:color="auto" w:sz="6" w:space="0"/>
            </w:tcBorders>
            <w:noWrap w:val="0"/>
            <w:vAlign w:val="top"/>
          </w:tcPr>
          <w:p>
            <w:pPr>
              <w:autoSpaceDE w:val="0"/>
              <w:autoSpaceDN w:val="0"/>
              <w:spacing w:line="560" w:lineRule="exact"/>
              <w:rPr>
                <w:rFonts w:ascii="宋体" w:hAnsi="宋体"/>
                <w:color w:val="auto"/>
                <w:sz w:val="24"/>
                <w:highlight w:val="none"/>
              </w:rPr>
            </w:pPr>
            <w:r>
              <w:rPr>
                <w:rFonts w:hint="eastAsia" w:ascii="宋体" w:hAnsi="宋体"/>
                <w:color w:val="auto"/>
                <w:sz w:val="24"/>
                <w:highlight w:val="none"/>
              </w:rPr>
              <w:t>3</w:t>
            </w:r>
          </w:p>
        </w:tc>
      </w:tr>
      <w:tr>
        <w:tblPrEx>
          <w:tblCellMar>
            <w:top w:w="0" w:type="dxa"/>
            <w:left w:w="108" w:type="dxa"/>
            <w:bottom w:w="0" w:type="dxa"/>
            <w:right w:w="108" w:type="dxa"/>
          </w:tblCellMar>
        </w:tblPrEx>
        <w:trPr>
          <w:trHeight w:val="413" w:hRule="atLeast"/>
        </w:trPr>
        <w:tc>
          <w:tcPr>
            <w:tcW w:w="2049"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spacing w:line="560" w:lineRule="exact"/>
              <w:jc w:val="right"/>
              <w:rPr>
                <w:rFonts w:ascii="宋体" w:hAnsi="宋体"/>
                <w:color w:val="auto"/>
                <w:sz w:val="24"/>
                <w:highlight w:val="none"/>
              </w:rPr>
            </w:pPr>
          </w:p>
        </w:tc>
        <w:tc>
          <w:tcPr>
            <w:tcW w:w="7337" w:type="dxa"/>
            <w:gridSpan w:val="3"/>
            <w:tcBorders>
              <w:top w:val="single" w:color="auto" w:sz="6" w:space="0"/>
              <w:left w:val="single" w:color="auto" w:sz="4" w:space="0"/>
              <w:bottom w:val="single" w:color="auto" w:sz="6" w:space="0"/>
              <w:right w:val="single" w:color="auto" w:sz="6" w:space="0"/>
            </w:tcBorders>
            <w:noWrap w:val="0"/>
            <w:vAlign w:val="top"/>
          </w:tcPr>
          <w:p>
            <w:pPr>
              <w:autoSpaceDE w:val="0"/>
              <w:autoSpaceDN w:val="0"/>
              <w:spacing w:line="560" w:lineRule="exact"/>
              <w:rPr>
                <w:rFonts w:ascii="宋体" w:hAnsi="宋体"/>
                <w:color w:val="auto"/>
                <w:sz w:val="24"/>
                <w:highlight w:val="none"/>
              </w:rPr>
            </w:pPr>
            <w:r>
              <w:rPr>
                <w:rFonts w:hint="eastAsia" w:ascii="宋体" w:hAnsi="宋体"/>
                <w:color w:val="auto"/>
                <w:sz w:val="24"/>
                <w:highlight w:val="none"/>
              </w:rPr>
              <w:t>4</w:t>
            </w:r>
          </w:p>
        </w:tc>
      </w:tr>
      <w:tr>
        <w:tblPrEx>
          <w:tblCellMar>
            <w:top w:w="0" w:type="dxa"/>
            <w:left w:w="108" w:type="dxa"/>
            <w:bottom w:w="0" w:type="dxa"/>
            <w:right w:w="108" w:type="dxa"/>
          </w:tblCellMar>
        </w:tblPrEx>
        <w:trPr>
          <w:trHeight w:val="404" w:hRule="atLeast"/>
        </w:trPr>
        <w:tc>
          <w:tcPr>
            <w:tcW w:w="2049" w:type="dxa"/>
            <w:vMerge w:val="continue"/>
            <w:tcBorders>
              <w:top w:val="single" w:color="auto" w:sz="4" w:space="0"/>
              <w:left w:val="single" w:color="auto" w:sz="4" w:space="0"/>
              <w:bottom w:val="single" w:color="auto" w:sz="4" w:space="0"/>
              <w:right w:val="single" w:color="auto" w:sz="4" w:space="0"/>
            </w:tcBorders>
            <w:noWrap w:val="0"/>
            <w:vAlign w:val="top"/>
          </w:tcPr>
          <w:p>
            <w:pPr>
              <w:autoSpaceDE w:val="0"/>
              <w:autoSpaceDN w:val="0"/>
              <w:spacing w:line="560" w:lineRule="exact"/>
              <w:jc w:val="right"/>
              <w:rPr>
                <w:rFonts w:ascii="宋体" w:hAnsi="宋体"/>
                <w:color w:val="auto"/>
                <w:sz w:val="24"/>
                <w:highlight w:val="none"/>
              </w:rPr>
            </w:pPr>
          </w:p>
        </w:tc>
        <w:tc>
          <w:tcPr>
            <w:tcW w:w="7337" w:type="dxa"/>
            <w:gridSpan w:val="3"/>
            <w:tcBorders>
              <w:top w:val="single" w:color="auto" w:sz="6" w:space="0"/>
              <w:left w:val="single" w:color="auto" w:sz="4" w:space="0"/>
              <w:bottom w:val="single" w:color="auto" w:sz="6" w:space="0"/>
              <w:right w:val="single" w:color="auto" w:sz="6" w:space="0"/>
            </w:tcBorders>
            <w:noWrap w:val="0"/>
            <w:vAlign w:val="top"/>
          </w:tcPr>
          <w:p>
            <w:pPr>
              <w:autoSpaceDE w:val="0"/>
              <w:autoSpaceDN w:val="0"/>
              <w:spacing w:line="560" w:lineRule="exact"/>
              <w:rPr>
                <w:rFonts w:ascii="宋体" w:hAnsi="宋体"/>
                <w:color w:val="auto"/>
                <w:sz w:val="24"/>
                <w:highlight w:val="none"/>
              </w:rPr>
            </w:pPr>
            <w:r>
              <w:rPr>
                <w:rFonts w:hint="eastAsia" w:ascii="宋体" w:hAnsi="宋体"/>
                <w:color w:val="auto"/>
                <w:sz w:val="24"/>
                <w:highlight w:val="none"/>
              </w:rPr>
              <w:t>5</w:t>
            </w:r>
          </w:p>
        </w:tc>
      </w:tr>
      <w:tr>
        <w:tblPrEx>
          <w:tblCellMar>
            <w:top w:w="0" w:type="dxa"/>
            <w:left w:w="108" w:type="dxa"/>
            <w:bottom w:w="0" w:type="dxa"/>
            <w:right w:w="108" w:type="dxa"/>
          </w:tblCellMar>
        </w:tblPrEx>
        <w:trPr>
          <w:trHeight w:val="1143" w:hRule="atLeast"/>
        </w:trPr>
        <w:tc>
          <w:tcPr>
            <w:tcW w:w="9386" w:type="dxa"/>
            <w:gridSpan w:val="4"/>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rPr>
                <w:rFonts w:ascii="宋体" w:hAnsi="宋体"/>
                <w:b/>
                <w:color w:val="auto"/>
                <w:sz w:val="24"/>
                <w:highlight w:val="none"/>
              </w:rPr>
            </w:pPr>
            <w:r>
              <w:rPr>
                <w:rFonts w:hint="eastAsia" w:ascii="宋体" w:hAnsi="宋体"/>
                <w:b/>
                <w:color w:val="auto"/>
                <w:sz w:val="24"/>
                <w:highlight w:val="none"/>
              </w:rPr>
              <w:t>声明：本人已阅知并同意接受纳税价格争议处理相关政策条款。此申请表填报的各项内容及提交的证明材料，本人确定它是真实、合法、有效的。因隐瞒真实情况或者提供虚假材料而引起的一切法律责任，均由本人承担。</w:t>
            </w:r>
          </w:p>
          <w:p>
            <w:pPr>
              <w:autoSpaceDE w:val="0"/>
              <w:autoSpaceDN w:val="0"/>
              <w:spacing w:line="560" w:lineRule="exact"/>
              <w:rPr>
                <w:rFonts w:ascii="宋体" w:hAnsi="宋体"/>
                <w:b/>
                <w:color w:val="auto"/>
                <w:sz w:val="24"/>
                <w:highlight w:val="none"/>
              </w:rPr>
            </w:pPr>
            <w:r>
              <w:rPr>
                <w:rFonts w:hint="eastAsia" w:ascii="宋体" w:hAnsi="宋体"/>
                <w:b/>
                <w:color w:val="auto"/>
                <w:sz w:val="24"/>
                <w:highlight w:val="none"/>
              </w:rPr>
              <w:t xml:space="preserve">                     申请人（签名）：                     年    月    日                                     </w:t>
            </w:r>
          </w:p>
        </w:tc>
      </w:tr>
      <w:tr>
        <w:tblPrEx>
          <w:tblCellMar>
            <w:top w:w="0" w:type="dxa"/>
            <w:left w:w="108" w:type="dxa"/>
            <w:bottom w:w="0" w:type="dxa"/>
            <w:right w:w="108" w:type="dxa"/>
          </w:tblCellMar>
        </w:tblPrEx>
        <w:trPr>
          <w:trHeight w:val="1834" w:hRule="atLeast"/>
        </w:trPr>
        <w:tc>
          <w:tcPr>
            <w:tcW w:w="9386" w:type="dxa"/>
            <w:gridSpan w:val="4"/>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560" w:lineRule="exact"/>
              <w:rPr>
                <w:rFonts w:ascii="宋体" w:hAnsi="宋体"/>
                <w:color w:val="auto"/>
                <w:sz w:val="24"/>
                <w:highlight w:val="none"/>
              </w:rPr>
            </w:pPr>
            <w:r>
              <w:rPr>
                <w:rFonts w:hint="eastAsia" w:ascii="宋体" w:hAnsi="宋体"/>
                <w:color w:val="auto"/>
                <w:sz w:val="24"/>
                <w:highlight w:val="none"/>
              </w:rPr>
              <w:t>税务机关意见：税务机关已一次性告知申请人需提供的证明材料。我局将于</w:t>
            </w:r>
            <w:r>
              <w:rPr>
                <w:rFonts w:hint="eastAsia" w:ascii="宋体" w:hAnsi="宋体"/>
                <w:color w:val="auto"/>
                <w:sz w:val="24"/>
                <w:highlight w:val="none"/>
                <w:lang w:val="en-US" w:eastAsia="zh-CN"/>
              </w:rPr>
              <w:t>10</w:t>
            </w:r>
            <w:r>
              <w:rPr>
                <w:rFonts w:hint="eastAsia" w:ascii="宋体" w:hAnsi="宋体"/>
                <w:color w:val="auto"/>
                <w:sz w:val="24"/>
                <w:highlight w:val="none"/>
              </w:rPr>
              <w:t>个工作日内对申请理由和证明材料进行审核，并作出受理（不予受理）决定。</w:t>
            </w:r>
          </w:p>
          <w:p>
            <w:pPr>
              <w:autoSpaceDE w:val="0"/>
              <w:autoSpaceDN w:val="0"/>
              <w:spacing w:line="560" w:lineRule="exact"/>
              <w:ind w:firstLine="960" w:firstLineChars="400"/>
              <w:rPr>
                <w:rFonts w:ascii="宋体" w:hAnsi="宋体"/>
                <w:color w:val="auto"/>
                <w:sz w:val="24"/>
                <w:highlight w:val="none"/>
              </w:rPr>
            </w:pPr>
            <w:r>
              <w:rPr>
                <w:rFonts w:hint="eastAsia" w:ascii="宋体" w:hAnsi="宋体"/>
                <w:color w:val="auto"/>
                <w:sz w:val="24"/>
                <w:highlight w:val="none"/>
              </w:rPr>
              <w:t>经办人：              负责人：                 年    月    日</w:t>
            </w:r>
          </w:p>
        </w:tc>
      </w:tr>
    </w:tbl>
    <w:p>
      <w:pPr>
        <w:autoSpaceDE w:val="0"/>
        <w:autoSpaceDN w:val="0"/>
        <w:spacing w:line="560" w:lineRule="exact"/>
        <w:rPr>
          <w:rFonts w:hint="eastAsia" w:ascii="宋体" w:hAnsi="宋体"/>
          <w:color w:val="auto"/>
          <w:sz w:val="24"/>
          <w:highlight w:val="none"/>
        </w:rPr>
      </w:pPr>
      <w:r>
        <w:rPr>
          <w:rFonts w:hint="eastAsia" w:ascii="宋体" w:hAnsi="宋体"/>
          <w:color w:val="auto"/>
          <w:sz w:val="24"/>
          <w:highlight w:val="none"/>
        </w:rPr>
        <w:t>注：本表一式二份，申请人、主管税务机关各一份。</w:t>
      </w:r>
    </w:p>
    <w:p>
      <w:pPr>
        <w:pStyle w:val="3"/>
        <w:bidi w:val="0"/>
        <w:spacing w:line="560" w:lineRule="exact"/>
        <w:rPr>
          <w:rFonts w:hint="eastAsia" w:ascii="仿宋" w:hAnsi="仿宋" w:eastAsia="仿宋" w:cs="仿宋"/>
          <w:color w:val="auto"/>
          <w:sz w:val="30"/>
          <w:szCs w:val="30"/>
          <w:highlight w:val="none"/>
        </w:rPr>
      </w:pPr>
    </w:p>
    <w:p>
      <w:pPr>
        <w:pStyle w:val="3"/>
        <w:bidi w:val="0"/>
        <w:spacing w:line="560" w:lineRule="exact"/>
        <w:rPr>
          <w:rFonts w:hint="eastAsia" w:ascii="仿宋" w:hAnsi="仿宋" w:eastAsia="仿宋" w:cs="仿宋"/>
          <w:color w:val="auto"/>
          <w:sz w:val="30"/>
          <w:szCs w:val="30"/>
          <w:highlight w:val="none"/>
        </w:rPr>
      </w:pPr>
    </w:p>
    <w:p>
      <w:pPr>
        <w:pStyle w:val="3"/>
        <w:bidi w:val="0"/>
        <w:spacing w:line="560" w:lineRule="exact"/>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rPr>
        <w:t>附</w:t>
      </w:r>
      <w:r>
        <w:rPr>
          <w:rFonts w:hint="eastAsia" w:ascii="黑体" w:hAnsi="黑体" w:eastAsia="黑体" w:cs="黑体"/>
          <w:color w:val="auto"/>
          <w:sz w:val="32"/>
          <w:szCs w:val="32"/>
          <w:highlight w:val="none"/>
          <w:lang w:val="en-US" w:eastAsia="zh-CN"/>
        </w:rPr>
        <w:t>2</w:t>
      </w:r>
    </w:p>
    <w:p>
      <w:pPr>
        <w:pStyle w:val="3"/>
        <w:bidi w:val="0"/>
        <w:spacing w:line="560" w:lineRule="exact"/>
        <w:jc w:val="center"/>
        <w:rPr>
          <w:rFonts w:hint="eastAsia" w:ascii="宋体" w:hAnsi="宋体" w:eastAsia="宋体" w:cs="宋体"/>
          <w:b/>
          <w:bCs/>
          <w:color w:val="auto"/>
          <w:sz w:val="36"/>
          <w:szCs w:val="36"/>
          <w:highlight w:val="none"/>
        </w:rPr>
      </w:pPr>
      <w:r>
        <w:rPr>
          <w:rFonts w:hint="eastAsia" w:ascii="宋体" w:hAnsi="宋体" w:eastAsia="宋体" w:cs="宋体"/>
          <w:b/>
          <w:bCs/>
          <w:color w:val="auto"/>
          <w:sz w:val="36"/>
          <w:szCs w:val="36"/>
          <w:highlight w:val="none"/>
        </w:rPr>
        <w:t>税务事项通知书</w:t>
      </w:r>
    </w:p>
    <w:p>
      <w:pPr>
        <w:pStyle w:val="3"/>
        <w:bidi w:val="0"/>
        <w:spacing w:line="560" w:lineRule="exact"/>
        <w:jc w:val="center"/>
        <w:rPr>
          <w:rFonts w:hint="eastAsia" w:ascii="宋体" w:hAnsi="宋体" w:eastAsia="宋体" w:cs="宋体"/>
          <w:color w:val="auto"/>
          <w:kern w:val="2"/>
          <w:sz w:val="24"/>
          <w:szCs w:val="24"/>
          <w:highlight w:val="none"/>
          <w:lang w:val="en-US" w:eastAsia="zh-CN" w:bidi="ar-SA"/>
        </w:rPr>
      </w:pPr>
      <w:r>
        <w:rPr>
          <w:rFonts w:hint="default" w:ascii="宋体" w:hAnsi="宋体" w:eastAsia="宋体" w:cs="宋体"/>
          <w:color w:val="auto"/>
          <w:kern w:val="2"/>
          <w:sz w:val="24"/>
          <w:szCs w:val="24"/>
          <w:highlight w:val="none"/>
          <w:lang w:val="en-US" w:eastAsia="zh-CN" w:bidi="ar-SA"/>
        </w:rPr>
        <w:t>（适用于通知存量房交易计税价格争议处理决定）</w:t>
      </w:r>
    </w:p>
    <w:p>
      <w:pPr>
        <w:pStyle w:val="3"/>
        <w:bidi w:val="0"/>
        <w:spacing w:line="560" w:lineRule="exact"/>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    ）税通〔   〕   号</w:t>
      </w:r>
    </w:p>
    <w:p>
      <w:pPr>
        <w:pStyle w:val="3"/>
        <w:bidi w:val="0"/>
        <w:spacing w:line="560" w:lineRule="exact"/>
        <w:rPr>
          <w:rFonts w:hint="eastAsia" w:ascii="宋体" w:hAnsi="宋体" w:eastAsia="宋体" w:cs="宋体"/>
          <w:color w:val="auto"/>
          <w:kern w:val="2"/>
          <w:sz w:val="24"/>
          <w:szCs w:val="24"/>
          <w:highlight w:val="none"/>
          <w:lang w:val="en-US" w:eastAsia="zh-CN" w:bidi="ar-SA"/>
        </w:rPr>
      </w:pPr>
    </w:p>
    <w:p>
      <w:pPr>
        <w:pStyle w:val="3"/>
        <w:bidi w:val="0"/>
        <w:spacing w:line="560" w:lineRule="exact"/>
        <w:rPr>
          <w:rFonts w:hint="eastAsia" w:ascii="宋体" w:hAnsi="宋体" w:eastAsia="宋体" w:cs="宋体"/>
          <w:color w:val="auto"/>
          <w:kern w:val="2"/>
          <w:sz w:val="24"/>
          <w:szCs w:val="24"/>
          <w:highlight w:val="none"/>
          <w:lang w:val="en-US" w:eastAsia="zh-CN" w:bidi="ar-SA"/>
        </w:rPr>
      </w:pP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 xml:space="preserve">                  ：（纳税人识别号：               ）</w:t>
      </w: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事由：存量房交易计税价格争议处理决定通知</w:t>
      </w:r>
    </w:p>
    <w:p>
      <w:pPr>
        <w:pStyle w:val="3"/>
        <w:bidi w:val="0"/>
        <w:spacing w:line="560" w:lineRule="exact"/>
        <w:rPr>
          <w:rFonts w:hint="eastAsia" w:ascii="宋体" w:hAnsi="宋体" w:eastAsia="宋体" w:cs="宋体"/>
          <w:color w:val="auto"/>
          <w:kern w:val="2"/>
          <w:sz w:val="24"/>
          <w:szCs w:val="24"/>
          <w:highlight w:val="none"/>
          <w:lang w:val="en-US" w:eastAsia="zh-CN" w:bidi="ar-SA"/>
        </w:rPr>
      </w:pP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依据:《国家税务总局辽阳市税务局关于发布〈辽阳市存量房交易计税价格争议处理办法（试行）〉的公告》（2024年第*号）第十二条规定</w:t>
      </w:r>
    </w:p>
    <w:p>
      <w:pPr>
        <w:pStyle w:val="3"/>
        <w:bidi w:val="0"/>
        <w:spacing w:line="560" w:lineRule="exact"/>
        <w:rPr>
          <w:rFonts w:hint="eastAsia" w:ascii="宋体" w:hAnsi="宋体" w:eastAsia="宋体" w:cs="宋体"/>
          <w:color w:val="auto"/>
          <w:kern w:val="2"/>
          <w:sz w:val="24"/>
          <w:szCs w:val="24"/>
          <w:highlight w:val="none"/>
          <w:lang w:val="en-US" w:eastAsia="zh-CN" w:bidi="ar-SA"/>
        </w:rPr>
      </w:pP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通知内容：根据《中华人民共和国税收征收管理法》第三十五条规定，我局对你（单位）提请的争议事项及相关证据资料进行了审核，现将有关处理决定通知如下：</w:t>
      </w:r>
    </w:p>
    <w:p>
      <w:pPr>
        <w:pStyle w:val="3"/>
        <w:bidi w:val="0"/>
        <w:spacing w:line="560" w:lineRule="exact"/>
        <w:ind w:firstLine="480" w:firstLineChars="200"/>
        <w:rPr>
          <w:rFonts w:hint="eastAsia" w:ascii="宋体" w:hAnsi="宋体" w:eastAsia="宋体" w:cs="宋体"/>
          <w:color w:val="auto"/>
          <w:kern w:val="2"/>
          <w:sz w:val="24"/>
          <w:szCs w:val="24"/>
          <w:highlight w:val="none"/>
          <w:lang w:val="en-US" w:eastAsia="zh-CN" w:bidi="ar-SA"/>
        </w:rPr>
      </w:pPr>
    </w:p>
    <w:p>
      <w:pPr>
        <w:pStyle w:val="3"/>
        <w:bidi w:val="0"/>
        <w:spacing w:line="560" w:lineRule="exact"/>
        <w:ind w:firstLine="480" w:firstLineChars="200"/>
        <w:rPr>
          <w:rFonts w:hint="eastAsia" w:ascii="宋体" w:hAnsi="宋体" w:eastAsia="宋体" w:cs="宋体"/>
          <w:color w:val="auto"/>
          <w:kern w:val="2"/>
          <w:sz w:val="24"/>
          <w:szCs w:val="24"/>
          <w:highlight w:val="none"/>
          <w:lang w:val="en-US" w:eastAsia="zh-CN" w:bidi="ar-SA"/>
        </w:rPr>
      </w:pPr>
    </w:p>
    <w:p>
      <w:pPr>
        <w:pStyle w:val="3"/>
        <w:bidi w:val="0"/>
        <w:spacing w:line="560" w:lineRule="exact"/>
        <w:ind w:firstLine="480" w:firstLineChars="20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若你（单位）对税务机关作出的争议处理决定仍有异议，应先依照争议处理决定确定的交易计税价格申报缴纳税款及滞纳金或者提供相应的担保，然后可自上述款项缴清或者提供相应担保被税务机关确认之日起六十日内依法向上一级税务机关申请行政复议。对行政复议决定不服的，可以依法提起行政诉讼。</w:t>
      </w: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 xml:space="preserve">                    </w:t>
      </w: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 xml:space="preserve">                                                        税务机关（签章）</w:t>
      </w:r>
    </w:p>
    <w:p>
      <w:pPr>
        <w:pStyle w:val="3"/>
        <w:bidi w:val="0"/>
        <w:spacing w:line="560" w:lineRule="exact"/>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 xml:space="preserve">                                                     年   月   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C71BC7"/>
    <w:rsid w:val="55C71B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Plain Text"/>
    <w:basedOn w:val="1"/>
    <w:unhideWhenUsed/>
    <w:qFormat/>
    <w:uiPriority w:val="99"/>
    <w:rPr>
      <w:rFonts w:ascii="宋体" w:hAnsi="Courier New" w:eastAsia="宋体" w:cs="Times New Roman"/>
      <w:szCs w:val="20"/>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2024-11-20T01:15:00Z</dcterms:created>
  <dc:creator>Administrator</dc:creator>
  <cp:lastModifiedBy>Administrator</cp:lastModifiedBy>
  <dcterms:modified xsi:type="dcterms:W3CDTF">2024-11-20T01:15:38Z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