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Times New Roman" w:hAnsi="Times New Roman" w:cs="Times New Roman"/>
          <w:sz w:val="40"/>
          <w:szCs w:val="18"/>
          <w:highlight w:val="none"/>
        </w:rPr>
      </w:pPr>
      <w:bookmarkStart w:id="0" w:name="_GoBack"/>
      <w:bookmarkEnd w:id="0"/>
      <w:r>
        <w:rPr>
          <w:rFonts w:hint="default" w:ascii="Times New Roman" w:hAnsi="Times New Roman" w:eastAsia="黑体" w:cs="Times New Roman"/>
          <w:sz w:val="32"/>
          <w:szCs w:val="32"/>
          <w:highlight w:val="none"/>
          <w:lang w:val="en-US" w:eastAsia="zh-CN"/>
        </w:rPr>
        <w:t>附件1</w:t>
      </w:r>
    </w:p>
    <w:p>
      <w:pPr>
        <w:pStyle w:val="2"/>
        <w:adjustRightInd w:val="0"/>
        <w:snapToGrid w:val="0"/>
        <w:spacing w:before="0" w:beforeLines="0" w:after="0" w:afterLines="0" w:line="240" w:lineRule="auto"/>
        <w:rPr>
          <w:rFonts w:hint="default" w:ascii="Times New Roman" w:hAnsi="Times New Roman" w:cs="Times New Roman"/>
          <w:sz w:val="36"/>
          <w:szCs w:val="16"/>
          <w:highlight w:val="none"/>
        </w:rPr>
      </w:pP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 xml:space="preserve">2024年度先进制造业企业增值税加计抵减    </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 xml:space="preserve">政策申报表（总公司）                                                                                                                                                                                                                                                                                                                                                                                                                                                                                                                                                                                                                            </w:t>
      </w:r>
    </w:p>
    <w:p>
      <w:pPr>
        <w:ind w:firstLine="0" w:firstLineChars="0"/>
        <w:rPr>
          <w:rFonts w:hint="default" w:ascii="Times New Roman" w:hAnsi="Times New Roman" w:eastAsia="黑体" w:cs="Times New Roman"/>
          <w:sz w:val="28"/>
          <w:szCs w:val="28"/>
          <w:highlight w:val="none"/>
        </w:rPr>
      </w:pPr>
    </w:p>
    <w:p>
      <w:pPr>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仿宋"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仿宋" w:cs="Times New Roman"/>
          <w:sz w:val="28"/>
          <w:szCs w:val="28"/>
          <w:highlight w:val="none"/>
        </w:rPr>
      </w:pPr>
    </w:p>
    <w:p>
      <w:pPr>
        <w:spacing w:line="460" w:lineRule="exact"/>
        <w:ind w:firstLine="0"/>
        <w:rPr>
          <w:rFonts w:hint="default" w:ascii="Times New Roman" w:hAnsi="Times New Roman" w:cs="Times New Roman"/>
          <w:highlight w:val="none"/>
        </w:rPr>
      </w:pPr>
      <w:r>
        <w:rPr>
          <w:rFonts w:ascii="Times New Roman" w:hAnsi="Times New Roman" w:cs="Times New Roman"/>
          <w:sz w:val="32"/>
        </w:rPr>
        <mc:AlternateContent>
          <mc:Choice Requires="wps">
            <w:drawing>
              <wp:anchor distT="0" distB="0" distL="114300" distR="114300" simplePos="0" relativeHeight="251658240" behindDoc="0" locked="0" layoutInCell="1" allowOverlap="1">
                <wp:simplePos x="0" y="0"/>
                <wp:positionH relativeFrom="column">
                  <wp:posOffset>-45720</wp:posOffset>
                </wp:positionH>
                <wp:positionV relativeFrom="paragraph">
                  <wp:posOffset>233045</wp:posOffset>
                </wp:positionV>
                <wp:extent cx="5735320" cy="2731135"/>
                <wp:effectExtent l="6350" t="6350" r="11430" b="24765"/>
                <wp:wrapNone/>
                <wp:docPr id="1" name="矩形 1"/>
                <wp:cNvGraphicFramePr/>
                <a:graphic xmlns:a="http://schemas.openxmlformats.org/drawingml/2006/main">
                  <a:graphicData uri="http://schemas.microsoft.com/office/word/2010/wordprocessingShape">
                    <wps:wsp>
                      <wps:cNvSpPr/>
                      <wps:spPr>
                        <a:xfrm>
                          <a:off x="0" y="0"/>
                          <a:ext cx="5735320" cy="2731135"/>
                        </a:xfrm>
                        <a:prstGeom prst="rect">
                          <a:avLst/>
                        </a:prstGeom>
                        <a:noFill/>
                        <a:ln w="12700" cap="flat" cmpd="sng">
                          <a:solidFill>
                            <a:srgbClr val="000000"/>
                          </a:solidFill>
                          <a:prstDash val="lgDash"/>
                          <a:round/>
                          <a:headEnd type="none" w="med" len="med"/>
                          <a:tailEnd type="none" w="med" len="med"/>
                        </a:ln>
                      </wps:spPr>
                      <wps:bodyPr wrap="square" anchor="ctr" upright="1"/>
                    </wps:wsp>
                  </a:graphicData>
                </a:graphic>
              </wp:anchor>
            </w:drawing>
          </mc:Choice>
          <mc:Fallback>
            <w:pict>
              <v:rect id="_x0000_s1026" o:spid="_x0000_s1026" o:spt="1" style="position:absolute;left:0pt;margin-left:-3.6pt;margin-top:18.35pt;height:215.05pt;width:451.6pt;z-index:251658240;v-text-anchor:middle;mso-width-relative:page;mso-height-relative:page;" filled="f" stroked="t" coordsize="21600,21600" o:gfxdata="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t8jBcdoAAAAJAQAADwAAAAAAAAABACAAAAAiAAAAZHJzL2Rvd25yZXYueG1sUEsBAhQAFAAA&#10;AAgAh07iQFg2lPftAQAAxQMAAA4AAAAAAAAAAQAgAAAAKQEAAGRycy9lMm9Eb2MueG1sUEsFBgAA&#10;AAAGAAYAWQEAAIgFAAAAAA==&#10;">
                <v:fill on="f" focussize="0,0"/>
                <v:stroke weight="1pt" color="#000000" joinstyle="round" dashstyle="longDash"/>
                <v:imagedata o:title=""/>
                <o:lock v:ext="edit" aspectratio="f"/>
              </v:rect>
            </w:pict>
          </mc:Fallback>
        </mc:AlternateContent>
      </w:r>
    </w:p>
    <w:p>
      <w:pPr>
        <w:spacing w:line="460" w:lineRule="exact"/>
        <w:ind w:firstLine="640"/>
        <w:rPr>
          <w:rFonts w:hint="default" w:ascii="Times New Roman" w:hAnsi="Times New Roman" w:eastAsia="黑体" w:cs="Times New Roman"/>
          <w:sz w:val="28"/>
          <w:szCs w:val="28"/>
          <w:highlight w:val="none"/>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年度先进制造业企业增值税加计抵减政策申报表（总公司）上填写的所有内容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 xml:space="preserve">            </w:t>
      </w:r>
      <w:r>
        <w:rPr>
          <w:rFonts w:hint="default" w:ascii="Times New Roman" w:hAnsi="Times New Roman" w:eastAsia="黑体" w:cs="Times New Roman"/>
          <w:sz w:val="28"/>
          <w:szCs w:val="28"/>
          <w:highlight w:val="none"/>
        </w:rPr>
        <w:t>年  月  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32"/>
          <w:szCs w:val="32"/>
          <w:highlight w:val="none"/>
        </w:rPr>
        <w:br w:type="page"/>
      </w:r>
      <w:r>
        <w:rPr>
          <w:rFonts w:hint="default" w:ascii="Times New Roman" w:hAnsi="Times New Roman" w:eastAsia="黑体" w:cs="Times New Roman"/>
          <w:sz w:val="28"/>
          <w:szCs w:val="28"/>
          <w:highlight w:val="none"/>
        </w:rPr>
        <w:t>企业销售额信息</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2023年1月1日至12月31日期间，企业全部销售额</w:t>
      </w:r>
      <w:r>
        <w:rPr>
          <w:rFonts w:hint="default" w:ascii="Times New Roman" w:hAnsi="Times New Roman" w:eastAsia="黑体" w:cs="Times New Roman"/>
          <w:b/>
          <w:bCs/>
          <w:sz w:val="28"/>
          <w:szCs w:val="28"/>
          <w:highlight w:val="none"/>
          <w:vertAlign w:val="superscript"/>
          <w:lang w:val="en-US" w:eastAsia="zh-CN"/>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sz w:val="28"/>
          <w:szCs w:val="28"/>
          <w:highlight w:val="none"/>
        </w:rPr>
        <w:t>2023年1月1日至12月31日期间，</w:t>
      </w:r>
      <w:r>
        <w:rPr>
          <w:rFonts w:hint="default" w:ascii="Times New Roman" w:hAnsi="Times New Roman" w:eastAsia="黑体" w:cs="Times New Roman"/>
          <w:sz w:val="28"/>
          <w:szCs w:val="28"/>
          <w:highlight w:val="none"/>
        </w:rPr>
        <w:t>企业从事制造业业务相应发生的销售产品信息：</w:t>
      </w:r>
    </w:p>
    <w:tbl>
      <w:tblPr>
        <w:tblStyle w:val="7"/>
        <w:tblW w:w="81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b/>
                <w:bCs/>
                <w:sz w:val="28"/>
                <w:szCs w:val="28"/>
                <w:highlight w:val="none"/>
                <w:vertAlign w:val="superscript"/>
                <w:lang w:val="en-US" w:eastAsia="zh-CN"/>
              </w:rPr>
              <w:t>③</w:t>
            </w:r>
          </w:p>
        </w:tc>
        <w:tc>
          <w:tcPr>
            <w:tcW w:w="2396"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产品所对应的</w:t>
            </w:r>
            <w:r>
              <w:rPr>
                <w:rFonts w:hint="default" w:ascii="Times New Roman" w:hAnsi="Times New Roman" w:eastAsia="黑体" w:cs="Times New Roman"/>
                <w:b w:val="0"/>
                <w:bCs w:val="0"/>
                <w:sz w:val="28"/>
                <w:szCs w:val="28"/>
                <w:highlight w:val="none"/>
              </w:rPr>
              <w:br w:type="textWrapping"/>
            </w: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是否设立</w:t>
      </w:r>
      <w:r>
        <w:rPr>
          <w:rFonts w:hint="default" w:ascii="Times New Roman" w:hAnsi="Times New Roman" w:eastAsia="黑体" w:cs="Times New Roman"/>
          <w:sz w:val="28"/>
          <w:szCs w:val="28"/>
          <w:highlight w:val="none"/>
          <w:lang w:val="en-US" w:eastAsia="zh-CN"/>
        </w:rPr>
        <w:t>属于制造业行业</w:t>
      </w:r>
      <w:r>
        <w:rPr>
          <w:rFonts w:hint="default" w:ascii="Times New Roman" w:hAnsi="Times New Roman" w:eastAsia="黑体" w:cs="Times New Roman"/>
          <w:sz w:val="28"/>
          <w:szCs w:val="28"/>
          <w:highlight w:val="none"/>
        </w:rPr>
        <w:t>非法人分支机构</w:t>
      </w:r>
      <w:r>
        <w:rPr>
          <w:rFonts w:hint="default" w:ascii="Times New Roman" w:hAnsi="Times New Roman" w:eastAsia="黑体" w:cs="Times New Roman"/>
          <w:b w:val="0"/>
          <w:bCs w:val="0"/>
          <w:sz w:val="28"/>
          <w:szCs w:val="28"/>
          <w:highlight w:val="none"/>
          <w:vertAlign w:val="superscript"/>
          <w:lang w:val="en-US" w:eastAsia="zh-CN"/>
        </w:rPr>
        <w:t>⑤</w:t>
      </w:r>
      <w:r>
        <w:rPr>
          <w:rFonts w:hint="default" w:ascii="Times New Roman" w:hAnsi="Times New Roman" w:eastAsia="黑体" w:cs="Times New Roman"/>
          <w:sz w:val="28"/>
          <w:szCs w:val="28"/>
          <w:highlight w:val="none"/>
        </w:rPr>
        <w:t>：□是   □否</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eastAsia" w:ascii="Times New Roman" w:hAnsi="Times New Roman" w:eastAsia="黑体" w:cs="Times New Roman"/>
          <w:sz w:val="28"/>
          <w:szCs w:val="28"/>
          <w:highlight w:val="none"/>
          <w:lang w:val="en-US" w:eastAsia="zh-CN"/>
        </w:rPr>
        <w:t>如是，是否为增值税汇总纳税企业</w:t>
      </w:r>
      <w:r>
        <w:rPr>
          <w:rFonts w:hint="eastAsia" w:ascii="Times New Roman" w:hAnsi="Times New Roman" w:eastAsia="黑体" w:cs="Times New Roman"/>
          <w:sz w:val="28"/>
          <w:szCs w:val="28"/>
          <w:highlight w:val="none"/>
          <w:vertAlign w:val="superscript"/>
          <w:lang w:val="en-US" w:eastAsia="zh-CN"/>
        </w:rPr>
        <w:t>⑥</w:t>
      </w:r>
      <w:r>
        <w:rPr>
          <w:rFonts w:hint="eastAsia" w:ascii="Times New Roman" w:hAnsi="Times New Roman" w:eastAsia="黑体" w:cs="Times New Roman"/>
          <w:sz w:val="28"/>
          <w:szCs w:val="28"/>
          <w:highlight w:val="none"/>
          <w:lang w:val="en-US" w:eastAsia="zh-CN"/>
        </w:rPr>
        <w:t>：</w:t>
      </w:r>
      <w:r>
        <w:rPr>
          <w:rFonts w:hint="default" w:ascii="Times New Roman" w:hAnsi="Times New Roman" w:eastAsia="黑体" w:cs="Times New Roman"/>
          <w:sz w:val="28"/>
          <w:szCs w:val="28"/>
          <w:highlight w:val="none"/>
        </w:rPr>
        <w:t>□是   □否</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val="en-US"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p>
    <w:p>
      <w:pPr>
        <w:spacing w:line="460" w:lineRule="exact"/>
        <w:ind w:left="0" w:leftChars="0" w:firstLine="0" w:firstLineChars="0"/>
        <w:rPr>
          <w:rFonts w:hint="default" w:ascii="Times New Roman" w:hAnsi="Times New Roman" w:eastAsia="仿宋" w:cs="Times New Roman"/>
          <w:sz w:val="24"/>
          <w:szCs w:val="24"/>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sz w:val="24"/>
          <w:szCs w:val="24"/>
          <w:highlight w:val="none"/>
        </w:rPr>
        <w:t>本表由</w:t>
      </w:r>
      <w:r>
        <w:rPr>
          <w:rFonts w:hint="eastAsia" w:ascii="Times New Roman" w:hAnsi="Times New Roman" w:eastAsia="仿宋" w:cs="仿宋"/>
          <w:b w:val="0"/>
          <w:bCs w:val="0"/>
          <w:sz w:val="24"/>
          <w:szCs w:val="24"/>
          <w:highlight w:val="none"/>
          <w:lang w:val="en-US" w:eastAsia="zh-CN"/>
        </w:rPr>
        <w:t>总公司</w:t>
      </w:r>
      <w:r>
        <w:rPr>
          <w:rFonts w:hint="eastAsia" w:ascii="Times New Roman" w:hAnsi="Times New Roman" w:eastAsia="仿宋" w:cs="仿宋"/>
          <w:sz w:val="24"/>
          <w:szCs w:val="24"/>
          <w:highlight w:val="none"/>
          <w:lang w:val="en-US" w:eastAsia="zh-CN"/>
        </w:rPr>
        <w:t>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b w:val="0"/>
          <w:bCs w:val="0"/>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⑤</w:t>
      </w:r>
      <w:r>
        <w:rPr>
          <w:rFonts w:hint="eastAsia" w:ascii="Times New Roman" w:hAnsi="Times New Roman" w:eastAsia="仿宋" w:cs="仿宋"/>
          <w:sz w:val="24"/>
          <w:szCs w:val="24"/>
          <w:highlight w:val="none"/>
          <w:lang w:val="en-US" w:eastAsia="zh-CN"/>
        </w:rPr>
        <w:t>仅限非法人分支机构中的一般纳税人</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val="en-US" w:eastAsia="zh-CN"/>
        </w:rPr>
        <w:sectPr>
          <w:footerReference r:id="rId3" w:type="default"/>
          <w:pgSz w:w="11906" w:h="16838"/>
          <w:pgMar w:top="2041" w:right="1474" w:bottom="1871" w:left="1587" w:header="851" w:footer="992" w:gutter="0"/>
          <w:pgNumType w:fmt="decimal" w:start="1"/>
          <w:cols w:space="720" w:num="1"/>
          <w:docGrid w:type="lines" w:linePitch="436" w:charSpace="0"/>
        </w:sectPr>
      </w:pPr>
      <w:r>
        <w:rPr>
          <w:rFonts w:hint="eastAsia" w:ascii="Times New Roman" w:hAnsi="Times New Roman" w:eastAsia="仿宋" w:cs="仿宋"/>
          <w:sz w:val="24"/>
          <w:szCs w:val="24"/>
          <w:highlight w:val="none"/>
          <w:lang w:val="en-US" w:eastAsia="zh-CN"/>
        </w:rPr>
        <w:t>⑥增值税汇总纳税企业总公司申报的销售额应汇总非法人分支机构销售额，产品信息应包含非法人分支机构产品信息。</w:t>
      </w:r>
    </w:p>
    <w:p>
      <w:pPr>
        <w:pStyle w:val="2"/>
        <w:adjustRightInd w:val="0"/>
        <w:snapToGrid w:val="0"/>
        <w:spacing w:before="0" w:beforeLines="0" w:after="0" w:afterLines="0" w:line="240" w:lineRule="auto"/>
        <w:rPr>
          <w:rFonts w:hint="default" w:ascii="Times New Roman" w:hAnsi="Times New Roman" w:eastAsia="黑体" w:cs="Times New Roman"/>
          <w:sz w:val="28"/>
          <w:szCs w:val="28"/>
          <w:highlight w:val="none"/>
        </w:rPr>
        <w:sectPr>
          <w:footerReference r:id="rId4" w:type="default"/>
          <w:type w:val="continuous"/>
          <w:pgSz w:w="11906" w:h="16838"/>
          <w:pgMar w:top="1440" w:right="1803" w:bottom="1440" w:left="1803" w:header="851" w:footer="992" w:gutter="0"/>
          <w:pgNumType w:fmt="decimal"/>
          <w:cols w:space="720" w:num="1"/>
          <w:docGrid w:type="lines" w:linePitch="436" w:charSpace="0"/>
        </w:sectPr>
      </w:pPr>
    </w:p>
    <w:p>
      <w:pPr>
        <w:pStyle w:val="2"/>
        <w:adjustRightInd w:val="0"/>
        <w:snapToGrid w:val="0"/>
        <w:spacing w:before="0" w:beforeLines="0" w:after="0" w:afterLines="0" w:line="240" w:lineRule="auto"/>
        <w:jc w:val="center"/>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2024年度先进制造业企业增值税加计抵减</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政策申报表（</w:t>
      </w:r>
      <w:r>
        <w:rPr>
          <w:rFonts w:hint="default" w:ascii="Times New Roman" w:hAnsi="Times New Roman" w:cs="Times New Roman"/>
          <w:sz w:val="40"/>
          <w:szCs w:val="18"/>
          <w:highlight w:val="none"/>
          <w:lang w:eastAsia="zh-CN"/>
        </w:rPr>
        <w:t>非法人</w:t>
      </w:r>
      <w:r>
        <w:rPr>
          <w:rFonts w:hint="default" w:ascii="Times New Roman" w:hAnsi="Times New Roman" w:cs="Times New Roman"/>
          <w:sz w:val="40"/>
          <w:szCs w:val="18"/>
          <w:highlight w:val="none"/>
          <w:lang w:val="en-US" w:eastAsia="zh-CN"/>
        </w:rPr>
        <w:t xml:space="preserve">分支机构）                                                                                                                                                                                                                                                                                                                                                                                                                                                                                                                                                                                                                            </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总公司信息</w:t>
      </w:r>
    </w:p>
    <w:p>
      <w:pPr>
        <w:spacing w:line="460" w:lineRule="exact"/>
        <w:ind w:firstLine="0" w:firstLineChars="0"/>
        <w:rPr>
          <w:rFonts w:hint="default" w:ascii="Times New Roman" w:hAnsi="Times New Roman" w:eastAsia="宋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1680" w:firstLineChars="600"/>
        <w:rPr>
          <w:rFonts w:hint="default" w:ascii="Times New Roman" w:hAnsi="Times New Roman" w:eastAsia="仿宋"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eastAsia="zh-CN"/>
        </w:rPr>
        <w:t>非法人</w:t>
      </w:r>
      <w:r>
        <w:rPr>
          <w:rFonts w:hint="default" w:ascii="Times New Roman" w:hAnsi="Times New Roman" w:eastAsia="黑体" w:cs="Times New Roman"/>
          <w:sz w:val="28"/>
          <w:szCs w:val="28"/>
          <w:highlight w:val="none"/>
          <w:lang w:val="en-US" w:eastAsia="zh-CN"/>
        </w:rPr>
        <w:t>分支机构</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lang w:val="en-US" w:eastAsia="zh-CN"/>
        </w:rPr>
        <w:t>信息</w:t>
      </w:r>
    </w:p>
    <w:p>
      <w:pPr>
        <w:spacing w:line="460" w:lineRule="exact"/>
        <w:ind w:firstLine="0" w:firstLineChars="0"/>
        <w:rPr>
          <w:rFonts w:hint="default" w:ascii="Times New Roman" w:hAnsi="Times New Roman" w:eastAsia="黑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color w:val="auto"/>
          <w:sz w:val="28"/>
          <w:szCs w:val="28"/>
          <w:highlight w:val="none"/>
        </w:rPr>
        <w:t>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仿宋" w:cs="Times New Roman"/>
          <w:sz w:val="32"/>
          <w:szCs w:val="32"/>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560" w:firstLineChars="200"/>
        <w:jc w:val="both"/>
        <w:rPr>
          <w:rFonts w:hint="default" w:ascii="Times New Roman" w:hAnsi="Times New Roman" w:eastAsia="黑体" w:cs="Times New Roman"/>
          <w:sz w:val="28"/>
          <w:szCs w:val="28"/>
          <w:highlight w:val="none"/>
        </w:rPr>
      </w:pPr>
    </w:p>
    <w:p>
      <w:pPr>
        <w:spacing w:line="460" w:lineRule="exact"/>
        <w:ind w:firstLine="640" w:firstLineChars="200"/>
        <w:jc w:val="both"/>
        <w:rPr>
          <w:rFonts w:hint="default" w:ascii="Times New Roman" w:hAnsi="Times New Roman" w:eastAsia="黑体" w:cs="Times New Roman"/>
          <w:sz w:val="28"/>
          <w:szCs w:val="28"/>
          <w:highlight w:val="none"/>
        </w:rPr>
      </w:pPr>
      <w:r>
        <w:rPr>
          <w:rFonts w:ascii="Times New Roman" w:hAnsi="Times New Roman" w:cs="Times New Roman"/>
          <w:sz w:val="32"/>
        </w:rPr>
        <mc:AlternateContent>
          <mc:Choice Requires="wps">
            <w:drawing>
              <wp:anchor distT="0" distB="0" distL="114300" distR="114300" simplePos="0" relativeHeight="251659264" behindDoc="0" locked="0" layoutInCell="1" allowOverlap="1">
                <wp:simplePos x="0" y="0"/>
                <wp:positionH relativeFrom="column">
                  <wp:posOffset>-77470</wp:posOffset>
                </wp:positionH>
                <wp:positionV relativeFrom="paragraph">
                  <wp:posOffset>42545</wp:posOffset>
                </wp:positionV>
                <wp:extent cx="5765800" cy="1992630"/>
                <wp:effectExtent l="6350" t="6350" r="0" b="20320"/>
                <wp:wrapNone/>
                <wp:docPr id="2" name="矩形 4"/>
                <wp:cNvGraphicFramePr/>
                <a:graphic xmlns:a="http://schemas.openxmlformats.org/drawingml/2006/main">
                  <a:graphicData uri="http://schemas.microsoft.com/office/word/2010/wordprocessingShape">
                    <wps:wsp>
                      <wps:cNvSpPr/>
                      <wps:spPr>
                        <a:xfrm>
                          <a:off x="0" y="0"/>
                          <a:ext cx="5765800" cy="1992630"/>
                        </a:xfrm>
                        <a:prstGeom prst="rect">
                          <a:avLst/>
                        </a:prstGeom>
                        <a:noFill/>
                        <a:ln w="12700" cap="flat" cmpd="sng">
                          <a:solidFill>
                            <a:srgbClr val="000000"/>
                          </a:solidFill>
                          <a:prstDash val="lgDash"/>
                          <a:round/>
                          <a:headEnd type="none" w="med" len="med"/>
                          <a:tailEnd type="none" w="med" len="med"/>
                        </a:ln>
                      </wps:spPr>
                      <wps:bodyPr wrap="square" anchor="ctr" upright="1"/>
                    </wps:wsp>
                  </a:graphicData>
                </a:graphic>
              </wp:anchor>
            </w:drawing>
          </mc:Choice>
          <mc:Fallback>
            <w:pict>
              <v:rect id="矩形 4" o:spid="_x0000_s1026" o:spt="1" style="position:absolute;left:0pt;margin-left:-6.1pt;margin-top:3.35pt;height:156.9pt;width:454pt;z-index:251659264;v-text-anchor:middle;mso-width-relative:page;mso-height-relative:page;" filled="f" stroked="t" coordsize="21600,21600" o:gfxdata="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Soa03ZAAAACQEAAA8AAAAAAAAAAQAgAAAAIgAAAGRycy9kb3ducmV2LnhtbFBLAQIUABQA&#10;AAAIAIdO4kC94SFJ7wEAAMUDAAAOAAAAAAAAAAEAIAAAACgBAABkcnMvZTJvRG9jLnhtbFBLBQYA&#10;AAAABgAGAFkBAACJBQAAAAA=&#10;">
                <v:fill on="f" focussize="0,0"/>
                <v:stroke weight="1pt" color="#000000" joinstyle="round" dashstyle="longDash"/>
                <v:imagedata o:title=""/>
                <o:lock v:ext="edit" aspectratio="f"/>
              </v:rect>
            </w:pict>
          </mc:Fallback>
        </mc:AlternateContent>
      </w:r>
    </w:p>
    <w:p>
      <w:pPr>
        <w:spacing w:line="460" w:lineRule="exact"/>
        <w:ind w:firstLine="560" w:firstLineChars="200"/>
        <w:jc w:val="both"/>
        <w:rPr>
          <w:rFonts w:hint="default" w:ascii="Times New Roman" w:hAnsi="Times New Roman" w:eastAsia="仿宋_GB2312" w:cs="Times New Roman"/>
          <w:highlight w:val="none"/>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年度先进制造业企业增值税加计抵减政策申报表（非法人分支机构）上填写的所有内容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 xml:space="preserve">             年  月  日</w:t>
      </w:r>
    </w:p>
    <w:p>
      <w:pPr>
        <w:spacing w:line="460" w:lineRule="exact"/>
        <w:ind w:firstLine="0" w:firstLineChars="0"/>
        <w:jc w:val="both"/>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非法人分支机构</w:t>
      </w:r>
      <w:r>
        <w:rPr>
          <w:rFonts w:hint="default" w:ascii="Times New Roman" w:hAnsi="Times New Roman" w:eastAsia="黑体" w:cs="Times New Roman"/>
          <w:sz w:val="28"/>
          <w:szCs w:val="28"/>
          <w:highlight w:val="none"/>
        </w:rPr>
        <w:t>销售额信息</w:t>
      </w:r>
    </w:p>
    <w:p>
      <w:pPr>
        <w:numPr>
          <w:ilvl w:val="0"/>
          <w:numId w:val="0"/>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1</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全部销售额</w:t>
      </w:r>
      <w:r>
        <w:rPr>
          <w:rFonts w:hint="default" w:ascii="Times New Roman" w:hAnsi="Times New Roman" w:eastAsia="黑体" w:cs="Times New Roman"/>
          <w:sz w:val="28"/>
          <w:szCs w:val="28"/>
          <w:highlight w:val="none"/>
          <w:vertAlign w:val="superscript"/>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0"/>
        </w:num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2</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从事制造业业务相应发生的销售产品信息：</w:t>
      </w:r>
    </w:p>
    <w:tbl>
      <w:tblPr>
        <w:tblStyle w:val="7"/>
        <w:tblW w:w="81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sz w:val="28"/>
                <w:szCs w:val="28"/>
                <w:highlight w:val="none"/>
                <w:vertAlign w:val="superscript"/>
              </w:rPr>
              <w:t>③</w:t>
            </w:r>
          </w:p>
        </w:tc>
        <w:tc>
          <w:tcPr>
            <w:tcW w:w="2396"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产品所对应的</w:t>
            </w:r>
            <w:r>
              <w:rPr>
                <w:rFonts w:hint="default" w:ascii="Times New Roman" w:hAnsi="Times New Roman" w:eastAsia="黑体" w:cs="Times New Roman"/>
                <w:b w:val="0"/>
                <w:bCs w:val="0"/>
                <w:sz w:val="28"/>
                <w:szCs w:val="28"/>
                <w:highlight w:val="none"/>
              </w:rPr>
              <w:br w:type="textWrapping"/>
            </w: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single"/>
          <w:lang w:eastAsia="zh-CN"/>
        </w:rPr>
        <w:t xml:space="preserve">   </w:t>
      </w: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b w:val="0"/>
          <w:bCs w:val="0"/>
          <w:sz w:val="24"/>
          <w:szCs w:val="24"/>
          <w:highlight w:val="none"/>
          <w:lang w:val="en-US" w:eastAsia="zh-CN"/>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b w:val="0"/>
          <w:bCs w:val="0"/>
          <w:sz w:val="24"/>
          <w:szCs w:val="24"/>
          <w:highlight w:val="none"/>
        </w:rPr>
        <w:t>仅限非法人分支机构中的一般纳税人</w:t>
      </w:r>
      <w:r>
        <w:rPr>
          <w:rFonts w:hint="eastAsia" w:ascii="Times New Roman" w:hAnsi="Times New Roman" w:eastAsia="仿宋" w:cs="仿宋"/>
          <w:b w:val="0"/>
          <w:bCs w:val="0"/>
          <w:sz w:val="24"/>
          <w:szCs w:val="24"/>
          <w:highlight w:val="none"/>
          <w:lang w:eastAsia="zh-CN"/>
        </w:rPr>
        <w:t>。</w:t>
      </w:r>
      <w:r>
        <w:rPr>
          <w:rFonts w:hint="eastAsia" w:ascii="Times New Roman" w:hAnsi="Times New Roman" w:eastAsia="仿宋" w:cs="仿宋"/>
          <w:sz w:val="24"/>
          <w:szCs w:val="24"/>
          <w:highlight w:val="none"/>
        </w:rPr>
        <w:t>本表由</w:t>
      </w:r>
      <w:r>
        <w:rPr>
          <w:rFonts w:hint="eastAsia" w:ascii="Times New Roman" w:hAnsi="Times New Roman" w:eastAsia="仿宋" w:cs="仿宋"/>
          <w:sz w:val="24"/>
          <w:szCs w:val="24"/>
          <w:highlight w:val="none"/>
          <w:lang w:val="en-US" w:eastAsia="zh-CN"/>
        </w:rPr>
        <w:t>总公司签署及加盖公章并在系统上上传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sectPr>
      <w:footerReference r:id="rId5"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zSVju&#10;0AAAAAUBAAAPAAAAAAAAAAEAIAAAACIAAABkcnMvZG93bnJldi54bWxQSwECFAAUAAAACACHTuJA&#10;OLnzr7cBAABUAwAADgAAAAAAAAABACAAAAAfAQAAZHJzL2Uyb0RvYy54bWxQSwUGAAAAAAYABgBZ&#10;AQAASAU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zSVju&#10;0AAAAAUBAAAPAAAAAAAAAAEAIAAAACIAAABkcnMvZG93bnJldi54bWxQSwECFAAUAAAACACHTuJA&#10;1SZ5ybcBAABUAwAADgAAAAAAAAABACAAAAAfAQAAZHJzL2Uyb0RvYy54bWxQSwUGAAAAAAYABgBZ&#10;AQAASAU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0BB87A"/>
    <w:multiLevelType w:val="singleLevel"/>
    <w:tmpl w:val="A30BB87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2370FB"/>
    <w:rsid w:val="3EAB0813"/>
    <w:rsid w:val="6A7D11FE"/>
    <w:rsid w:val="7573B9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150" w:beforeLines="150" w:after="100" w:afterLines="100" w:line="600" w:lineRule="exact"/>
      <w:ind w:firstLine="0" w:firstLineChars="0"/>
      <w:jc w:val="center"/>
      <w:outlineLvl w:val="0"/>
    </w:pPr>
    <w:rPr>
      <w:rFonts w:eastAsia="方正小标宋简体"/>
      <w:kern w:val="44"/>
      <w:sz w:val="44"/>
    </w:rPr>
  </w:style>
  <w:style w:type="character" w:default="1" w:styleId="5">
    <w:name w:val="Default Paragraph Font"/>
    <w:semiHidden/>
    <w:uiPriority w:val="0"/>
  </w:style>
  <w:style w:type="table" w:default="1" w:styleId="6">
    <w:name w:val="Normal Table"/>
    <w:semiHidden/>
    <w:uiPriority w:val="0"/>
    <w:tblPr>
      <w:tblStyle w:val="6"/>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Style w:val="6"/>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表格内容"/>
    <w:basedOn w:val="1"/>
    <w:qFormat/>
    <w:uiPriority w:val="0"/>
    <w:pPr>
      <w:ind w:firstLine="0" w:firstLineChars="0"/>
    </w:pPr>
    <w:rPr>
      <w:rFonts w:eastAsia="宋体"/>
      <w:sz w:val="3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1609</Words>
  <Characters>1699</Characters>
  <Lines>0</Lines>
  <Paragraphs>0</Paragraphs>
  <TotalTime>21.3333333333333</TotalTime>
  <ScaleCrop>false</ScaleCrop>
  <LinksUpToDate>false</LinksUpToDate>
  <CharactersWithSpaces>3100</CharactersWithSpaces>
  <Application>WPS Office_10.1.0.7565_F1E327BC-269C-435d-A152-05C5408002CA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 </cp:lastModifiedBy>
  <dcterms:modified xsi:type="dcterms:W3CDTF">2024-11-22T02:36:42Z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ies>
</file>