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400"/>
        </w:tabs>
        <w:rPr>
          <w:rFonts w:ascii="方正仿宋_GBK" w:hAnsi="方正仿宋_GBK" w:eastAsia="方正仿宋_GBK"/>
        </w:rPr>
      </w:pPr>
      <w:r>
        <w:drawing>
          <wp:anchor distT="0" distB="0" distL="114300" distR="114300" simplePos="0" relativeHeight="251662336" behindDoc="0" locked="0" layoutInCell="1" allowOverlap="1">
            <wp:simplePos x="0" y="0"/>
            <wp:positionH relativeFrom="column">
              <wp:posOffset>-817245</wp:posOffset>
            </wp:positionH>
            <wp:positionV relativeFrom="paragraph">
              <wp:posOffset>-732790</wp:posOffset>
            </wp:positionV>
            <wp:extent cx="7743825" cy="10743565"/>
            <wp:effectExtent l="0" t="0" r="3175" b="0"/>
            <wp:wrapThrough wrapText="bothSides">
              <wp:wrapPolygon>
                <wp:start x="0" y="0"/>
                <wp:lineTo x="0" y="21576"/>
                <wp:lineTo x="21573" y="21576"/>
                <wp:lineTo x="21573" y="0"/>
                <wp:lineTo x="0" y="0"/>
              </wp:wrapPolygon>
            </wp:wrapThrough>
            <wp:docPr id="49" name="F35B0BEE-F18A-47BB-8FCB-E00DA2F2635D-1" descr="C:/Users/Administrator/AppData/Local/Temp/wps.CaFZzA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35B0BEE-F18A-47BB-8FCB-E00DA2F2635D-1" descr="C:/Users/Administrator/AppData/Local/Temp/wps.CaFZzAwps"/>
                    <pic:cNvPicPr>
                      <a:picLocks noChangeAspect="1" noChangeArrowheads="1"/>
                    </pic:cNvPicPr>
                  </pic:nvPicPr>
                  <pic:blipFill>
                    <a:blip r:embed="rId7"/>
                    <a:srcRect/>
                    <a:stretch>
                      <a:fillRect/>
                    </a:stretch>
                  </pic:blipFill>
                  <pic:spPr>
                    <a:xfrm>
                      <a:off x="0" y="0"/>
                      <a:ext cx="7743825" cy="10743565"/>
                    </a:xfrm>
                    <a:prstGeom prst="rect">
                      <a:avLst/>
                    </a:prstGeom>
                    <a:noFill/>
                    <a:ln>
                      <a:noFill/>
                    </a:ln>
                  </pic:spPr>
                </pic:pic>
              </a:graphicData>
            </a:graphic>
          </wp:anchor>
        </w:drawing>
      </w:r>
    </w:p>
    <w:p>
      <w:pPr>
        <w:rPr>
          <w:rFonts w:ascii="方正仿宋_GBK" w:hAnsi="方正仿宋_GBK" w:eastAsia="方正仿宋_GBK"/>
        </w:rPr>
      </w:pPr>
    </w:p>
    <w:sdt>
      <w:sdtPr>
        <w:rPr>
          <w:rFonts w:ascii="宋体" w:hAnsi="宋体" w:eastAsia="宋体" w:cstheme="minorBidi"/>
          <w:b/>
          <w:bCs/>
          <w:kern w:val="2"/>
          <w:sz w:val="44"/>
          <w:szCs w:val="44"/>
          <w:lang w:val="en-US" w:eastAsia="zh-CN" w:bidi="ar-SA"/>
        </w:rPr>
        <w:id w:val="147479400"/>
        <w15:color w:val="DBDBDB"/>
        <w:docPartObj>
          <w:docPartGallery w:val="Table of Contents"/>
          <w:docPartUnique/>
        </w:docPartObj>
      </w:sdtPr>
      <w:sdtEndPr>
        <w:rPr>
          <w:rFonts w:ascii="方正仿宋_GBK" w:hAnsi="方正仿宋_GBK" w:eastAsia="方正仿宋_GBK" w:cstheme="minorBidi"/>
          <w:b/>
          <w:bCs/>
          <w:kern w:val="2"/>
          <w:sz w:val="21"/>
          <w:szCs w:val="22"/>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b/>
              <w:bCs/>
              <w:sz w:val="44"/>
              <w:szCs w:val="44"/>
            </w:rPr>
          </w:pPr>
          <w:r>
            <w:rPr>
              <w:rFonts w:ascii="宋体" w:hAnsi="宋体" w:eastAsia="宋体"/>
              <w:b/>
              <w:bCs/>
              <w:sz w:val="44"/>
              <w:szCs w:val="44"/>
            </w:rPr>
            <w:t>目录</w:t>
          </w:r>
        </w:p>
        <w:p>
          <w:pPr>
            <w:spacing w:before="0" w:beforeLines="0" w:after="0" w:afterLines="0" w:line="240" w:lineRule="auto"/>
            <w:ind w:left="0" w:leftChars="0" w:right="0" w:rightChars="0" w:firstLine="0" w:firstLineChars="0"/>
            <w:jc w:val="both"/>
            <w:rPr>
              <w:rFonts w:ascii="宋体" w:hAnsi="宋体" w:eastAsia="宋体"/>
              <w:b/>
              <w:bCs/>
              <w:sz w:val="44"/>
              <w:szCs w:val="44"/>
            </w:rPr>
          </w:pPr>
        </w:p>
        <w:p>
          <w:pPr>
            <w:pStyle w:val="44"/>
            <w:tabs>
              <w:tab w:val="right" w:leader="dot" w:pos="8306"/>
            </w:tabs>
            <w:rPr>
              <w:b/>
              <w:sz w:val="44"/>
              <w:szCs w:val="44"/>
            </w:rPr>
          </w:pPr>
          <w:r>
            <w:rPr>
              <w:rFonts w:ascii="方正仿宋_GBK" w:hAnsi="方正仿宋_GBK" w:eastAsia="方正仿宋_GBK"/>
              <w:sz w:val="44"/>
              <w:szCs w:val="44"/>
            </w:rPr>
            <w:fldChar w:fldCharType="begin"/>
          </w:r>
          <w:r>
            <w:rPr>
              <w:rFonts w:ascii="方正仿宋_GBK" w:hAnsi="方正仿宋_GBK" w:eastAsia="方正仿宋_GBK"/>
              <w:sz w:val="44"/>
              <w:szCs w:val="44"/>
            </w:rPr>
            <w:instrText xml:space="preserve">TOC \o "1-2" \h \u </w:instrText>
          </w:r>
          <w:r>
            <w:rPr>
              <w:rFonts w:ascii="方正仿宋_GBK" w:hAnsi="方正仿宋_GBK" w:eastAsia="方正仿宋_GBK"/>
              <w:sz w:val="44"/>
              <w:szCs w:val="44"/>
            </w:rPr>
            <w:fldChar w:fldCharType="separate"/>
          </w:r>
          <w:r>
            <w:rPr>
              <w:rFonts w:ascii="方正仿宋_GBK" w:hAnsi="方正仿宋_GBK" w:eastAsia="方正仿宋_GBK"/>
              <w:b/>
              <w:sz w:val="44"/>
              <w:szCs w:val="44"/>
            </w:rPr>
            <w:fldChar w:fldCharType="begin"/>
          </w:r>
          <w:r>
            <w:rPr>
              <w:rFonts w:ascii="方正仿宋_GBK" w:hAnsi="方正仿宋_GBK" w:eastAsia="方正仿宋_GBK"/>
              <w:b/>
              <w:sz w:val="44"/>
              <w:szCs w:val="44"/>
            </w:rPr>
            <w:instrText xml:space="preserve"> HYPERLINK \l _Toc26010 </w:instrText>
          </w:r>
          <w:r>
            <w:rPr>
              <w:rFonts w:ascii="方正仿宋_GBK" w:hAnsi="方正仿宋_GBK" w:eastAsia="方正仿宋_GBK"/>
              <w:b/>
              <w:sz w:val="44"/>
              <w:szCs w:val="44"/>
            </w:rPr>
            <w:fldChar w:fldCharType="separate"/>
          </w:r>
          <w:r>
            <w:rPr>
              <w:rFonts w:hint="eastAsia" w:ascii="方正仿宋_GBK" w:hAnsi="方正仿宋_GBK" w:eastAsia="方正仿宋_GBK"/>
              <w:b/>
              <w:sz w:val="44"/>
              <w:szCs w:val="44"/>
            </w:rPr>
            <w:t>税务权力事项清单</w:t>
          </w:r>
          <w:r>
            <w:rPr>
              <w:b/>
              <w:sz w:val="44"/>
              <w:szCs w:val="44"/>
            </w:rPr>
            <w:tab/>
          </w:r>
          <w:r>
            <w:rPr>
              <w:b/>
              <w:sz w:val="44"/>
              <w:szCs w:val="44"/>
            </w:rPr>
            <w:fldChar w:fldCharType="begin"/>
          </w:r>
          <w:r>
            <w:rPr>
              <w:b/>
              <w:sz w:val="44"/>
              <w:szCs w:val="44"/>
            </w:rPr>
            <w:instrText xml:space="preserve"> PAGEREF _Toc26010 \h </w:instrText>
          </w:r>
          <w:r>
            <w:rPr>
              <w:b/>
              <w:sz w:val="44"/>
              <w:szCs w:val="44"/>
            </w:rPr>
            <w:fldChar w:fldCharType="separate"/>
          </w:r>
          <w:r>
            <w:rPr>
              <w:b/>
              <w:sz w:val="44"/>
              <w:szCs w:val="44"/>
            </w:rPr>
            <w:t>1</w:t>
          </w:r>
          <w:r>
            <w:rPr>
              <w:b/>
              <w:sz w:val="44"/>
              <w:szCs w:val="44"/>
            </w:rPr>
            <w:fldChar w:fldCharType="end"/>
          </w:r>
          <w:r>
            <w:rPr>
              <w:rFonts w:ascii="方正仿宋_GBK" w:hAnsi="方正仿宋_GBK" w:eastAsia="方正仿宋_GBK"/>
              <w:b/>
              <w:sz w:val="44"/>
              <w:szCs w:val="44"/>
            </w:rPr>
            <w:fldChar w:fldCharType="end"/>
          </w:r>
        </w:p>
        <w:p>
          <w:pPr>
            <w:pStyle w:val="44"/>
            <w:tabs>
              <w:tab w:val="right" w:leader="dot" w:pos="8306"/>
            </w:tabs>
            <w:rPr>
              <w:b/>
              <w:sz w:val="44"/>
              <w:szCs w:val="44"/>
            </w:rPr>
          </w:pPr>
          <w:r>
            <w:rPr>
              <w:rFonts w:ascii="方正仿宋_GBK" w:hAnsi="方正仿宋_GBK" w:eastAsia="方正仿宋_GBK"/>
              <w:b/>
              <w:sz w:val="44"/>
              <w:szCs w:val="44"/>
            </w:rPr>
            <w:fldChar w:fldCharType="begin"/>
          </w:r>
          <w:r>
            <w:rPr>
              <w:rFonts w:ascii="方正仿宋_GBK" w:hAnsi="方正仿宋_GBK" w:eastAsia="方正仿宋_GBK"/>
              <w:b/>
              <w:sz w:val="44"/>
              <w:szCs w:val="44"/>
            </w:rPr>
            <w:instrText xml:space="preserve"> HYPERLINK \l _Toc32407 </w:instrText>
          </w:r>
          <w:r>
            <w:rPr>
              <w:rFonts w:ascii="方正仿宋_GBK" w:hAnsi="方正仿宋_GBK" w:eastAsia="方正仿宋_GBK"/>
              <w:b/>
              <w:sz w:val="44"/>
              <w:szCs w:val="44"/>
            </w:rPr>
            <w:fldChar w:fldCharType="separate"/>
          </w:r>
          <w:r>
            <w:rPr>
              <w:rFonts w:hint="eastAsia" w:ascii="方正仿宋_GBK" w:hAnsi="方正仿宋_GBK" w:eastAsia="方正仿宋_GBK"/>
              <w:b/>
              <w:sz w:val="44"/>
              <w:szCs w:val="44"/>
            </w:rPr>
            <w:t>办事不找关系路径</w:t>
          </w:r>
          <w:r>
            <w:rPr>
              <w:b/>
              <w:sz w:val="44"/>
              <w:szCs w:val="44"/>
            </w:rPr>
            <w:tab/>
          </w:r>
          <w:r>
            <w:rPr>
              <w:b/>
              <w:sz w:val="44"/>
              <w:szCs w:val="44"/>
            </w:rPr>
            <w:fldChar w:fldCharType="begin"/>
          </w:r>
          <w:r>
            <w:rPr>
              <w:b/>
              <w:sz w:val="44"/>
              <w:szCs w:val="44"/>
            </w:rPr>
            <w:instrText xml:space="preserve"> PAGEREF _Toc32407 \h </w:instrText>
          </w:r>
          <w:r>
            <w:rPr>
              <w:b/>
              <w:sz w:val="44"/>
              <w:szCs w:val="44"/>
            </w:rPr>
            <w:fldChar w:fldCharType="separate"/>
          </w:r>
          <w:r>
            <w:rPr>
              <w:b/>
              <w:sz w:val="44"/>
              <w:szCs w:val="44"/>
            </w:rPr>
            <w:t>3</w:t>
          </w:r>
          <w:r>
            <w:rPr>
              <w:b/>
              <w:sz w:val="44"/>
              <w:szCs w:val="44"/>
            </w:rPr>
            <w:fldChar w:fldCharType="end"/>
          </w:r>
          <w:r>
            <w:rPr>
              <w:rFonts w:ascii="方正仿宋_GBK" w:hAnsi="方正仿宋_GBK" w:eastAsia="方正仿宋_GBK"/>
              <w:b/>
              <w:sz w:val="44"/>
              <w:szCs w:val="44"/>
            </w:rPr>
            <w:fldChar w:fldCharType="end"/>
          </w:r>
        </w:p>
        <w:p>
          <w:pPr>
            <w:pStyle w:val="44"/>
            <w:tabs>
              <w:tab w:val="right" w:leader="dot" w:pos="8306"/>
            </w:tabs>
            <w:rPr>
              <w:b/>
              <w:sz w:val="44"/>
              <w:szCs w:val="44"/>
            </w:rPr>
          </w:pPr>
          <w:r>
            <w:rPr>
              <w:rFonts w:ascii="方正仿宋_GBK" w:hAnsi="方正仿宋_GBK" w:eastAsia="方正仿宋_GBK"/>
              <w:b/>
              <w:sz w:val="44"/>
              <w:szCs w:val="44"/>
            </w:rPr>
            <w:fldChar w:fldCharType="begin"/>
          </w:r>
          <w:r>
            <w:rPr>
              <w:rFonts w:ascii="方正仿宋_GBK" w:hAnsi="方正仿宋_GBK" w:eastAsia="方正仿宋_GBK"/>
              <w:b/>
              <w:sz w:val="44"/>
              <w:szCs w:val="44"/>
            </w:rPr>
            <w:instrText xml:space="preserve"> HYPERLINK \l _Toc8760 </w:instrText>
          </w:r>
          <w:r>
            <w:rPr>
              <w:rFonts w:ascii="方正仿宋_GBK" w:hAnsi="方正仿宋_GBK" w:eastAsia="方正仿宋_GBK"/>
              <w:b/>
              <w:sz w:val="44"/>
              <w:szCs w:val="44"/>
            </w:rPr>
            <w:fldChar w:fldCharType="separate"/>
          </w:r>
          <w:r>
            <w:rPr>
              <w:rFonts w:hint="eastAsia" w:ascii="方正仿宋_GBK" w:hAnsi="方正仿宋_GBK" w:eastAsia="方正仿宋_GBK"/>
              <w:b/>
              <w:sz w:val="44"/>
              <w:szCs w:val="44"/>
            </w:rPr>
            <w:t>合规办事业务指南</w:t>
          </w:r>
          <w:r>
            <w:rPr>
              <w:b/>
              <w:sz w:val="44"/>
              <w:szCs w:val="44"/>
            </w:rPr>
            <w:tab/>
          </w:r>
          <w:r>
            <w:rPr>
              <w:b/>
              <w:sz w:val="44"/>
              <w:szCs w:val="44"/>
            </w:rPr>
            <w:fldChar w:fldCharType="begin"/>
          </w:r>
          <w:r>
            <w:rPr>
              <w:b/>
              <w:sz w:val="44"/>
              <w:szCs w:val="44"/>
            </w:rPr>
            <w:instrText xml:space="preserve"> PAGEREF _Toc8760 \h </w:instrText>
          </w:r>
          <w:r>
            <w:rPr>
              <w:b/>
              <w:sz w:val="44"/>
              <w:szCs w:val="44"/>
            </w:rPr>
            <w:fldChar w:fldCharType="separate"/>
          </w:r>
          <w:r>
            <w:rPr>
              <w:b/>
              <w:sz w:val="44"/>
              <w:szCs w:val="44"/>
            </w:rPr>
            <w:t>5</w:t>
          </w:r>
          <w:r>
            <w:rPr>
              <w:b/>
              <w:sz w:val="44"/>
              <w:szCs w:val="44"/>
            </w:rPr>
            <w:fldChar w:fldCharType="end"/>
          </w:r>
          <w:r>
            <w:rPr>
              <w:rFonts w:ascii="方正仿宋_GBK" w:hAnsi="方正仿宋_GBK" w:eastAsia="方正仿宋_GBK"/>
              <w:b/>
              <w:sz w:val="44"/>
              <w:szCs w:val="44"/>
            </w:rPr>
            <w:fldChar w:fldCharType="end"/>
          </w:r>
        </w:p>
        <w:p>
          <w:pPr>
            <w:pStyle w:val="44"/>
            <w:tabs>
              <w:tab w:val="right" w:leader="dot" w:pos="8306"/>
            </w:tabs>
            <w:rPr>
              <w:b/>
              <w:sz w:val="44"/>
              <w:szCs w:val="44"/>
            </w:rPr>
          </w:pPr>
          <w:r>
            <w:rPr>
              <w:rFonts w:ascii="方正仿宋_GBK" w:hAnsi="方正仿宋_GBK" w:eastAsia="方正仿宋_GBK"/>
              <w:b/>
              <w:sz w:val="44"/>
              <w:szCs w:val="44"/>
            </w:rPr>
            <w:fldChar w:fldCharType="begin"/>
          </w:r>
          <w:r>
            <w:rPr>
              <w:rFonts w:ascii="方正仿宋_GBK" w:hAnsi="方正仿宋_GBK" w:eastAsia="方正仿宋_GBK"/>
              <w:b/>
              <w:sz w:val="44"/>
              <w:szCs w:val="44"/>
            </w:rPr>
            <w:instrText xml:space="preserve"> HYPERLINK \l _Toc20385 </w:instrText>
          </w:r>
          <w:r>
            <w:rPr>
              <w:rFonts w:ascii="方正仿宋_GBK" w:hAnsi="方正仿宋_GBK" w:eastAsia="方正仿宋_GBK"/>
              <w:b/>
              <w:sz w:val="44"/>
              <w:szCs w:val="44"/>
            </w:rPr>
            <w:fldChar w:fldCharType="separate"/>
          </w:r>
          <w:r>
            <w:rPr>
              <w:rFonts w:hint="eastAsia" w:ascii="方正仿宋_GBK" w:hAnsi="方正仿宋_GBK" w:eastAsia="方正仿宋_GBK"/>
              <w:b/>
              <w:sz w:val="44"/>
              <w:szCs w:val="44"/>
            </w:rPr>
            <w:t>违规禁办事项清单</w:t>
          </w:r>
          <w:r>
            <w:rPr>
              <w:b/>
              <w:sz w:val="44"/>
              <w:szCs w:val="44"/>
            </w:rPr>
            <w:tab/>
          </w:r>
          <w:r>
            <w:rPr>
              <w:b/>
              <w:sz w:val="44"/>
              <w:szCs w:val="44"/>
            </w:rPr>
            <w:fldChar w:fldCharType="begin"/>
          </w:r>
          <w:r>
            <w:rPr>
              <w:b/>
              <w:sz w:val="44"/>
              <w:szCs w:val="44"/>
            </w:rPr>
            <w:instrText xml:space="preserve"> PAGEREF _Toc20385 \h </w:instrText>
          </w:r>
          <w:r>
            <w:rPr>
              <w:b/>
              <w:sz w:val="44"/>
              <w:szCs w:val="44"/>
            </w:rPr>
            <w:fldChar w:fldCharType="separate"/>
          </w:r>
          <w:r>
            <w:rPr>
              <w:b/>
              <w:sz w:val="44"/>
              <w:szCs w:val="44"/>
            </w:rPr>
            <w:t>11</w:t>
          </w:r>
          <w:r>
            <w:rPr>
              <w:b/>
              <w:sz w:val="44"/>
              <w:szCs w:val="44"/>
            </w:rPr>
            <w:fldChar w:fldCharType="end"/>
          </w:r>
          <w:r>
            <w:rPr>
              <w:rFonts w:ascii="方正仿宋_GBK" w:hAnsi="方正仿宋_GBK" w:eastAsia="方正仿宋_GBK"/>
              <w:b/>
              <w:sz w:val="44"/>
              <w:szCs w:val="44"/>
            </w:rPr>
            <w:fldChar w:fldCharType="end"/>
          </w:r>
        </w:p>
        <w:p>
          <w:pPr>
            <w:pStyle w:val="44"/>
            <w:tabs>
              <w:tab w:val="right" w:leader="dot" w:pos="8306"/>
            </w:tabs>
            <w:rPr>
              <w:b/>
              <w:sz w:val="44"/>
              <w:szCs w:val="44"/>
            </w:rPr>
          </w:pPr>
          <w:r>
            <w:rPr>
              <w:rFonts w:ascii="方正仿宋_GBK" w:hAnsi="方正仿宋_GBK" w:eastAsia="方正仿宋_GBK"/>
              <w:b/>
              <w:sz w:val="44"/>
              <w:szCs w:val="44"/>
            </w:rPr>
            <w:fldChar w:fldCharType="begin"/>
          </w:r>
          <w:r>
            <w:rPr>
              <w:rFonts w:ascii="方正仿宋_GBK" w:hAnsi="方正仿宋_GBK" w:eastAsia="方正仿宋_GBK"/>
              <w:b/>
              <w:sz w:val="44"/>
              <w:szCs w:val="44"/>
            </w:rPr>
            <w:instrText xml:space="preserve"> HYPERLINK \l _Toc23340 </w:instrText>
          </w:r>
          <w:r>
            <w:rPr>
              <w:rFonts w:ascii="方正仿宋_GBK" w:hAnsi="方正仿宋_GBK" w:eastAsia="方正仿宋_GBK"/>
              <w:b/>
              <w:sz w:val="44"/>
              <w:szCs w:val="44"/>
            </w:rPr>
            <w:fldChar w:fldCharType="separate"/>
          </w:r>
          <w:r>
            <w:rPr>
              <w:rFonts w:hint="eastAsia" w:ascii="方正仿宋_GBK" w:hAnsi="方正仿宋_GBK" w:eastAsia="方正仿宋_GBK"/>
              <w:b/>
              <w:sz w:val="44"/>
              <w:szCs w:val="44"/>
            </w:rPr>
            <w:t>容缺办理事项清单</w:t>
          </w:r>
          <w:r>
            <w:rPr>
              <w:b/>
              <w:sz w:val="44"/>
              <w:szCs w:val="44"/>
            </w:rPr>
            <w:tab/>
          </w:r>
          <w:r>
            <w:rPr>
              <w:b/>
              <w:sz w:val="44"/>
              <w:szCs w:val="44"/>
            </w:rPr>
            <w:fldChar w:fldCharType="begin"/>
          </w:r>
          <w:r>
            <w:rPr>
              <w:b/>
              <w:sz w:val="44"/>
              <w:szCs w:val="44"/>
            </w:rPr>
            <w:instrText xml:space="preserve"> PAGEREF _Toc23340 \h </w:instrText>
          </w:r>
          <w:r>
            <w:rPr>
              <w:b/>
              <w:sz w:val="44"/>
              <w:szCs w:val="44"/>
            </w:rPr>
            <w:fldChar w:fldCharType="separate"/>
          </w:r>
          <w:r>
            <w:rPr>
              <w:b/>
              <w:sz w:val="44"/>
              <w:szCs w:val="44"/>
            </w:rPr>
            <w:t>12</w:t>
          </w:r>
          <w:r>
            <w:rPr>
              <w:b/>
              <w:sz w:val="44"/>
              <w:szCs w:val="44"/>
            </w:rPr>
            <w:fldChar w:fldCharType="end"/>
          </w:r>
          <w:r>
            <w:rPr>
              <w:rFonts w:ascii="方正仿宋_GBK" w:hAnsi="方正仿宋_GBK" w:eastAsia="方正仿宋_GBK"/>
              <w:b/>
              <w:sz w:val="44"/>
              <w:szCs w:val="44"/>
            </w:rPr>
            <w:fldChar w:fldCharType="end"/>
          </w:r>
        </w:p>
        <w:p>
          <w:pPr>
            <w:rPr>
              <w:rFonts w:ascii="方正仿宋_GBK" w:hAnsi="方正仿宋_GBK" w:eastAsia="方正仿宋_GBK"/>
            </w:rPr>
            <w:sectPr>
              <w:footerReference r:id="rId3" w:type="default"/>
              <w:pgSz w:w="11906" w:h="16838"/>
              <w:pgMar w:top="1440" w:right="1800" w:bottom="1440" w:left="1800" w:header="851" w:footer="992" w:gutter="0"/>
              <w:cols w:space="425" w:num="1"/>
              <w:docGrid w:type="lines" w:linePitch="312" w:charSpace="0"/>
            </w:sectPr>
          </w:pPr>
          <w:r>
            <w:rPr>
              <w:rFonts w:ascii="方正仿宋_GBK" w:hAnsi="方正仿宋_GBK" w:eastAsia="方正仿宋_GBK"/>
              <w:b/>
              <w:sz w:val="44"/>
              <w:szCs w:val="44"/>
            </w:rPr>
            <w:fldChar w:fldCharType="end"/>
          </w:r>
        </w:p>
      </w:sdtContent>
    </w:sdt>
    <w:p>
      <w:pPr>
        <w:pStyle w:val="2"/>
        <w:ind w:firstLine="1321" w:firstLineChars="300"/>
        <w:rPr>
          <w:rFonts w:hint="eastAsia" w:ascii="方正仿宋_GBK" w:hAnsi="方正仿宋_GBK" w:eastAsia="方正仿宋_GBK"/>
          <w:lang w:val="en-US" w:eastAsia="zh-CN"/>
        </w:rPr>
      </w:pPr>
      <w:bookmarkStart w:id="0" w:name="_Toc26010"/>
      <w:r>
        <w:rPr>
          <w:rFonts w:hint="eastAsia" w:ascii="方正仿宋_GBK" w:hAnsi="方正仿宋_GBK" w:eastAsia="方正仿宋_GBK"/>
        </w:rPr>
        <w:t>税务权力事项清单</w:t>
      </w:r>
      <w:bookmarkEnd w:id="0"/>
      <w:r>
        <w:rPr>
          <w:rFonts w:hint="eastAsia" w:ascii="方正仿宋_GBK" w:hAnsi="方正仿宋_GBK" w:eastAsia="方正仿宋_GBK"/>
          <w:lang w:val="en-US" w:eastAsia="zh-CN"/>
        </w:rPr>
        <w:t xml:space="preserve">      </w:t>
      </w:r>
      <w:bookmarkStart w:id="108" w:name="_GoBack"/>
      <w:bookmarkEnd w:id="108"/>
      <w:r>
        <w:rPr>
          <w:rFonts w:hint="eastAsia" w:ascii="方正仿宋_GBK" w:hAnsi="方正仿宋_GBK" w:eastAsia="方正仿宋_GBK"/>
          <w:lang w:val="en-US" w:eastAsia="zh-CN"/>
        </w:rPr>
        <w:t xml:space="preserve">   </w:t>
      </w:r>
      <w:r>
        <w:rPr>
          <w:rFonts w:hint="eastAsia" w:ascii="方正仿宋_GBK" w:hAnsi="方正仿宋_GBK" w:eastAsia="方正仿宋_GBK"/>
          <w:lang w:val="en-US" w:eastAsia="zh-CN"/>
        </w:rPr>
        <w:drawing>
          <wp:inline distT="0" distB="0" distL="114300" distR="114300">
            <wp:extent cx="1484630" cy="1484630"/>
            <wp:effectExtent l="0" t="0" r="1270" b="1270"/>
            <wp:docPr id="18" name="图片 18" descr="权力事项清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权力事项清单1"/>
                    <pic:cNvPicPr>
                      <a:picLocks noChangeAspect="1"/>
                    </pic:cNvPicPr>
                  </pic:nvPicPr>
                  <pic:blipFill>
                    <a:blip r:embed="rId8"/>
                    <a:stretch>
                      <a:fillRect/>
                    </a:stretch>
                  </pic:blipFill>
                  <pic:spPr>
                    <a:xfrm>
                      <a:off x="0" y="0"/>
                      <a:ext cx="1484630" cy="1484630"/>
                    </a:xfrm>
                    <a:prstGeom prst="rect">
                      <a:avLst/>
                    </a:prstGeom>
                  </pic:spPr>
                </pic:pic>
              </a:graphicData>
            </a:graphic>
          </wp:inline>
        </w:drawing>
      </w:r>
      <w:r>
        <w:rPr>
          <w:rFonts w:hint="eastAsia" w:ascii="方正仿宋_GBK" w:hAnsi="方正仿宋_GBK" w:eastAsia="方正仿宋_GBK"/>
          <w:lang w:val="en-US" w:eastAsia="zh-CN"/>
        </w:rPr>
        <w:t xml:space="preserve">    </w:t>
      </w:r>
    </w:p>
    <w:tbl>
      <w:tblPr>
        <w:tblStyle w:val="13"/>
        <w:tblpPr w:leftFromText="180" w:rightFromText="180" w:vertAnchor="text" w:horzAnchor="page" w:tblpX="1801" w:tblpY="166"/>
        <w:tblOverlap w:val="never"/>
        <w:tblW w:w="8522" w:type="dxa"/>
        <w:tblInd w:w="0" w:type="dxa"/>
        <w:tblLayout w:type="autofit"/>
        <w:tblCellMar>
          <w:top w:w="0" w:type="dxa"/>
          <w:left w:w="108" w:type="dxa"/>
          <w:bottom w:w="0" w:type="dxa"/>
          <w:right w:w="108" w:type="dxa"/>
        </w:tblCellMar>
      </w:tblPr>
      <w:tblGrid>
        <w:gridCol w:w="2009"/>
        <w:gridCol w:w="948"/>
        <w:gridCol w:w="1964"/>
        <w:gridCol w:w="463"/>
        <w:gridCol w:w="222"/>
        <w:gridCol w:w="2916"/>
      </w:tblGrid>
      <w:tr>
        <w:tblPrEx>
          <w:tblCellMar>
            <w:top w:w="0" w:type="dxa"/>
            <w:left w:w="108" w:type="dxa"/>
            <w:bottom w:w="0" w:type="dxa"/>
            <w:right w:w="108" w:type="dxa"/>
          </w:tblCellMar>
        </w:tblPrEx>
        <w:trPr>
          <w:trHeight w:val="2248" w:hRule="atLeast"/>
        </w:trPr>
        <w:tc>
          <w:tcPr>
            <w:tcW w:w="20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事项类别</w:t>
            </w:r>
          </w:p>
        </w:tc>
        <w:tc>
          <w:tcPr>
            <w:tcW w:w="94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序号</w:t>
            </w:r>
          </w:p>
        </w:tc>
        <w:tc>
          <w:tcPr>
            <w:tcW w:w="1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事项</w:t>
            </w:r>
          </w:p>
        </w:tc>
        <w:tc>
          <w:tcPr>
            <w:tcW w:w="463" w:type="dxa"/>
            <w:tcBorders>
              <w:top w:val="single" w:color="auto" w:sz="4" w:space="0"/>
              <w:left w:val="nil"/>
              <w:bottom w:val="single" w:color="auto" w:sz="4" w:space="0"/>
              <w:right w:val="nil"/>
            </w:tcBorders>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页码</w:t>
            </w:r>
          </w:p>
        </w:tc>
        <w:tc>
          <w:tcPr>
            <w:tcW w:w="222" w:type="dxa"/>
            <w:tcBorders>
              <w:top w:val="single" w:color="auto" w:sz="4" w:space="0"/>
              <w:left w:val="nil"/>
              <w:bottom w:val="single" w:color="auto" w:sz="4" w:space="0"/>
              <w:right w:val="single" w:color="auto" w:sz="4" w:space="0"/>
            </w:tcBorders>
          </w:tcPr>
          <w:p>
            <w:pPr>
              <w:widowControl/>
              <w:jc w:val="center"/>
              <w:rPr>
                <w:rFonts w:ascii="方正仿宋_GBK" w:hAnsi="方正仿宋_GBK" w:eastAsia="方正仿宋_GBK" w:cs="宋体"/>
                <w:b/>
                <w:bCs/>
                <w:color w:val="000000"/>
                <w:kern w:val="0"/>
                <w:sz w:val="24"/>
                <w:szCs w:val="24"/>
              </w:rPr>
            </w:pPr>
          </w:p>
        </w:tc>
        <w:tc>
          <w:tcPr>
            <w:tcW w:w="291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24"/>
                <w:szCs w:val="24"/>
              </w:rPr>
            </w:pPr>
            <w:r>
              <w:rPr>
                <w:rFonts w:hint="eastAsia" w:ascii="方正仿宋_GBK" w:hAnsi="方正仿宋_GBK" w:eastAsia="方正仿宋_GBK" w:cs="宋体"/>
                <w:b/>
                <w:bCs/>
                <w:color w:val="000000"/>
                <w:kern w:val="0"/>
                <w:sz w:val="24"/>
                <w:szCs w:val="24"/>
              </w:rPr>
              <w:t>操作流程</w:t>
            </w:r>
          </w:p>
        </w:tc>
      </w:tr>
      <w:tr>
        <w:tblPrEx>
          <w:tblCellMar>
            <w:top w:w="0" w:type="dxa"/>
            <w:left w:w="108" w:type="dxa"/>
            <w:bottom w:w="0" w:type="dxa"/>
            <w:right w:w="108" w:type="dxa"/>
          </w:tblCellMar>
        </w:tblPrEx>
        <w:trPr>
          <w:trHeight w:val="1350" w:hRule="atLeast"/>
        </w:trPr>
        <w:tc>
          <w:tcPr>
            <w:tcW w:w="2009" w:type="dxa"/>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lang w:eastAsia="zh-CN"/>
              </w:rPr>
              <w:t>一</w:t>
            </w:r>
            <w:r>
              <w:rPr>
                <w:rFonts w:hint="eastAsia" w:ascii="方正仿宋_GBK" w:hAnsi="方正仿宋_GBK" w:eastAsia="方正仿宋_GBK" w:cs="宋体"/>
                <w:color w:val="000000"/>
                <w:kern w:val="0"/>
                <w:szCs w:val="21"/>
              </w:rPr>
              <w:t>、发票业务</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方正仿宋_GBK" w:hAnsi="方正仿宋_GBK" w:eastAsia="方正仿宋_GBK" w:cs="宋体"/>
                <w:color w:val="000000"/>
                <w:kern w:val="0"/>
                <w:szCs w:val="21"/>
                <w:lang w:eastAsia="zh-CN"/>
              </w:rPr>
            </w:pPr>
            <w:r>
              <w:rPr>
                <w:rFonts w:hint="eastAsia" w:ascii="方正仿宋_GBK" w:hAnsi="方正仿宋_GBK" w:eastAsia="方正仿宋_GBK" w:cs="宋体"/>
                <w:color w:val="000000"/>
                <w:kern w:val="0"/>
                <w:szCs w:val="21"/>
                <w:lang w:val="en-US" w:eastAsia="zh-CN"/>
              </w:rPr>
              <w:t>1</w:t>
            </w:r>
          </w:p>
        </w:tc>
        <w:tc>
          <w:tcPr>
            <w:tcW w:w="196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代开增值税普通发票</w:t>
            </w:r>
          </w:p>
        </w:tc>
        <w:tc>
          <w:tcPr>
            <w:tcW w:w="463" w:type="dxa"/>
            <w:tcBorders>
              <w:top w:val="nil"/>
              <w:left w:val="nil"/>
              <w:bottom w:val="single" w:color="auto" w:sz="4" w:space="0"/>
              <w:right w:val="nil"/>
            </w:tcBorders>
            <w:vAlign w:val="center"/>
          </w:tcPr>
          <w:p>
            <w:pPr>
              <w:widowControl/>
              <w:jc w:val="center"/>
              <w:rPr>
                <w:rFonts w:hint="eastAsia" w:eastAsiaTheme="minorEastAsia"/>
                <w:lang w:val="en-US" w:eastAsia="zh-CN"/>
              </w:rPr>
            </w:pPr>
            <w:r>
              <w:rPr>
                <w:rFonts w:hint="eastAsia"/>
                <w:lang w:val="en-US" w:eastAsia="zh-CN"/>
              </w:rPr>
              <w:t>5</w:t>
            </w:r>
          </w:p>
        </w:tc>
        <w:tc>
          <w:tcPr>
            <w:tcW w:w="222" w:type="dxa"/>
            <w:tcBorders>
              <w:top w:val="nil"/>
              <w:left w:val="nil"/>
              <w:bottom w:val="single" w:color="auto" w:sz="4" w:space="0"/>
              <w:right w:val="single" w:color="auto" w:sz="4" w:space="0"/>
            </w:tcBorders>
          </w:tcPr>
          <w:p>
            <w:pPr>
              <w:widowControl/>
              <w:jc w:val="center"/>
            </w:pPr>
          </w:p>
        </w:tc>
        <w:tc>
          <w:tcPr>
            <w:tcW w:w="291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eastAsia"/>
                <w:lang w:val="en-US" w:eastAsia="zh-CN"/>
              </w:rPr>
              <w:t xml:space="preserve">                 </w:t>
            </w:r>
            <w:r>
              <w:rPr>
                <w:rFonts w:hint="default" w:eastAsiaTheme="minorEastAsia"/>
                <w:lang w:val="en-US" w:eastAsia="zh-CN"/>
              </w:rPr>
              <w:drawing>
                <wp:inline distT="0" distB="0" distL="114300" distR="114300">
                  <wp:extent cx="1463675" cy="1463675"/>
                  <wp:effectExtent l="0" t="0" r="3175" b="3175"/>
                  <wp:docPr id="21" name="图片 21" descr="代开增值税普通发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代开增值税普通发票 (1)"/>
                          <pic:cNvPicPr>
                            <a:picLocks noChangeAspect="1"/>
                          </pic:cNvPicPr>
                        </pic:nvPicPr>
                        <pic:blipFill>
                          <a:blip r:embed="rId9"/>
                          <a:stretch>
                            <a:fillRect/>
                          </a:stretch>
                        </pic:blipFill>
                        <pic:spPr>
                          <a:xfrm>
                            <a:off x="0" y="0"/>
                            <a:ext cx="1463675" cy="146367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trPr>
        <w:tc>
          <w:tcPr>
            <w:tcW w:w="2009" w:type="dxa"/>
            <w:vMerge w:val="restart"/>
            <w:tcBorders>
              <w:top w:val="nil"/>
              <w:left w:val="single" w:color="auto" w:sz="4" w:space="0"/>
              <w:right w:val="single" w:color="auto" w:sz="4" w:space="0"/>
            </w:tcBorders>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lang w:val="en-US" w:eastAsia="zh-CN"/>
              </w:rPr>
              <w:t>二</w:t>
            </w:r>
            <w:r>
              <w:rPr>
                <w:rFonts w:hint="eastAsia" w:ascii="方正仿宋_GBK" w:hAnsi="方正仿宋_GBK" w:eastAsia="方正仿宋_GBK" w:cs="宋体"/>
                <w:color w:val="000000"/>
                <w:kern w:val="0"/>
                <w:szCs w:val="21"/>
              </w:rPr>
              <w:t>、申报纳税</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方正仿宋_GBK" w:hAnsi="方正仿宋_GBK" w:eastAsia="方正仿宋_GBK" w:cs="宋体"/>
                <w:color w:val="000000"/>
                <w:kern w:val="0"/>
                <w:szCs w:val="21"/>
                <w:lang w:eastAsia="zh-CN"/>
              </w:rPr>
            </w:pPr>
            <w:r>
              <w:rPr>
                <w:rFonts w:hint="eastAsia" w:ascii="方正仿宋_GBK" w:hAnsi="方正仿宋_GBK" w:eastAsia="方正仿宋_GBK" w:cs="宋体"/>
                <w:color w:val="000000"/>
                <w:kern w:val="0"/>
                <w:szCs w:val="21"/>
                <w:lang w:val="en-US" w:eastAsia="zh-CN"/>
              </w:rPr>
              <w:t>2</w:t>
            </w:r>
          </w:p>
        </w:tc>
        <w:tc>
          <w:tcPr>
            <w:tcW w:w="196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463" w:type="dxa"/>
            <w:tcBorders>
              <w:top w:val="nil"/>
              <w:left w:val="nil"/>
              <w:bottom w:val="single" w:color="auto" w:sz="4" w:space="0"/>
              <w:right w:val="nil"/>
            </w:tcBorders>
            <w:vAlign w:val="center"/>
          </w:tcPr>
          <w:p>
            <w:pPr>
              <w:widowControl/>
              <w:jc w:val="center"/>
              <w:rPr>
                <w:rFonts w:hint="eastAsia" w:eastAsiaTheme="minorEastAsia"/>
                <w:lang w:val="en-US" w:eastAsia="zh-CN"/>
              </w:rPr>
            </w:pPr>
            <w:r>
              <w:rPr>
                <w:rFonts w:hint="eastAsia"/>
                <w:lang w:val="en-US" w:eastAsia="zh-CN"/>
              </w:rPr>
              <w:t>6</w:t>
            </w:r>
          </w:p>
        </w:tc>
        <w:tc>
          <w:tcPr>
            <w:tcW w:w="222" w:type="dxa"/>
            <w:tcBorders>
              <w:top w:val="nil"/>
              <w:left w:val="nil"/>
              <w:bottom w:val="single" w:color="auto" w:sz="4" w:space="0"/>
              <w:right w:val="single" w:color="auto" w:sz="4" w:space="0"/>
            </w:tcBorders>
          </w:tcPr>
          <w:p>
            <w:pPr>
              <w:widowControl/>
              <w:jc w:val="center"/>
            </w:pPr>
          </w:p>
        </w:tc>
        <w:tc>
          <w:tcPr>
            <w:tcW w:w="291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default" w:eastAsiaTheme="minorEastAsia"/>
                <w:lang w:val="en-US" w:eastAsia="zh-CN"/>
              </w:rPr>
              <w:drawing>
                <wp:inline distT="0" distB="0" distL="114300" distR="114300">
                  <wp:extent cx="1428115" cy="1428115"/>
                  <wp:effectExtent l="0" t="0" r="6985" b="6985"/>
                  <wp:docPr id="19" name="图片 19" descr="未命名码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未命名码 (4)"/>
                          <pic:cNvPicPr>
                            <a:picLocks noChangeAspect="1"/>
                          </pic:cNvPicPr>
                        </pic:nvPicPr>
                        <pic:blipFill>
                          <a:blip r:embed="rId10"/>
                          <a:stretch>
                            <a:fillRect/>
                          </a:stretch>
                        </pic:blipFill>
                        <pic:spPr>
                          <a:xfrm>
                            <a:off x="0" y="0"/>
                            <a:ext cx="1428115" cy="142811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trPr>
        <w:tc>
          <w:tcPr>
            <w:tcW w:w="2009" w:type="dxa"/>
            <w:vMerge w:val="continue"/>
            <w:tcBorders>
              <w:top w:val="nil"/>
              <w:left w:val="single" w:color="auto" w:sz="4" w:space="0"/>
              <w:bottom w:val="single" w:color="000000" w:sz="4" w:space="0"/>
              <w:right w:val="single" w:color="auto" w:sz="4" w:space="0"/>
            </w:tcBorders>
            <w:vAlign w:val="center"/>
          </w:tcPr>
          <w:p>
            <w:pPr>
              <w:widowControl/>
              <w:jc w:val="left"/>
              <w:rPr>
                <w:rFonts w:ascii="方正仿宋_GBK" w:hAnsi="方正仿宋_GBK" w:eastAsia="方正仿宋_GBK" w:cs="宋体"/>
                <w:color w:val="000000"/>
                <w:kern w:val="0"/>
                <w:szCs w:val="21"/>
              </w:rPr>
            </w:pP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方正仿宋_GBK" w:hAnsi="方正仿宋_GBK" w:eastAsia="方正仿宋_GBK" w:cs="宋体"/>
                <w:color w:val="000000"/>
                <w:kern w:val="0"/>
                <w:szCs w:val="21"/>
                <w:lang w:val="en-US" w:eastAsia="zh-CN"/>
              </w:rPr>
            </w:pPr>
            <w:r>
              <w:rPr>
                <w:rFonts w:hint="eastAsia" w:ascii="方正仿宋_GBK" w:hAnsi="方正仿宋_GBK" w:eastAsia="方正仿宋_GBK" w:cs="宋体"/>
                <w:color w:val="000000"/>
                <w:kern w:val="0"/>
                <w:szCs w:val="21"/>
                <w:lang w:val="en-US" w:eastAsia="zh-CN"/>
              </w:rPr>
              <w:t>3</w:t>
            </w:r>
          </w:p>
        </w:tc>
        <w:tc>
          <w:tcPr>
            <w:tcW w:w="196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房地产交易税费申报</w:t>
            </w:r>
          </w:p>
        </w:tc>
        <w:tc>
          <w:tcPr>
            <w:tcW w:w="463" w:type="dxa"/>
            <w:tcBorders>
              <w:top w:val="nil"/>
              <w:left w:val="nil"/>
              <w:bottom w:val="single" w:color="auto" w:sz="4" w:space="0"/>
              <w:right w:val="nil"/>
            </w:tcBorders>
            <w:vAlign w:val="center"/>
          </w:tcPr>
          <w:p>
            <w:pPr>
              <w:widowControl/>
              <w:jc w:val="center"/>
              <w:rPr>
                <w:rFonts w:hint="eastAsia" w:eastAsiaTheme="minorEastAsia"/>
                <w:lang w:val="en-US" w:eastAsia="zh-CN"/>
              </w:rPr>
            </w:pPr>
            <w:r>
              <w:rPr>
                <w:rFonts w:hint="eastAsia"/>
                <w:lang w:val="en-US" w:eastAsia="zh-CN"/>
              </w:rPr>
              <w:t>7</w:t>
            </w:r>
          </w:p>
        </w:tc>
        <w:tc>
          <w:tcPr>
            <w:tcW w:w="222" w:type="dxa"/>
            <w:tcBorders>
              <w:top w:val="nil"/>
              <w:left w:val="nil"/>
              <w:bottom w:val="single" w:color="auto" w:sz="4" w:space="0"/>
              <w:right w:val="single" w:color="auto" w:sz="4" w:space="0"/>
            </w:tcBorders>
          </w:tcPr>
          <w:p>
            <w:pPr>
              <w:widowControl/>
              <w:jc w:val="center"/>
            </w:pPr>
          </w:p>
        </w:tc>
        <w:tc>
          <w:tcPr>
            <w:tcW w:w="291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default" w:eastAsiaTheme="minorEastAsia"/>
                <w:lang w:val="en-US" w:eastAsia="zh-CN"/>
              </w:rPr>
              <w:drawing>
                <wp:inline distT="0" distB="0" distL="114300" distR="114300">
                  <wp:extent cx="1445895" cy="1445895"/>
                  <wp:effectExtent l="0" t="0" r="1905" b="1905"/>
                  <wp:docPr id="22" name="图片 22" descr="未命名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命名码 (5)"/>
                          <pic:cNvPicPr>
                            <a:picLocks noChangeAspect="1"/>
                          </pic:cNvPicPr>
                        </pic:nvPicPr>
                        <pic:blipFill>
                          <a:blip r:embed="rId11"/>
                          <a:stretch>
                            <a:fillRect/>
                          </a:stretch>
                        </pic:blipFill>
                        <pic:spPr>
                          <a:xfrm>
                            <a:off x="0" y="0"/>
                            <a:ext cx="1445895" cy="144589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trPr>
        <w:tc>
          <w:tcPr>
            <w:tcW w:w="2009" w:type="dxa"/>
            <w:tcBorders>
              <w:top w:val="nil"/>
              <w:left w:val="single" w:color="auto" w:sz="4" w:space="0"/>
              <w:bottom w:val="nil"/>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lang w:val="en-US" w:eastAsia="zh-CN"/>
              </w:rPr>
              <w:t>三</w:t>
            </w:r>
            <w:r>
              <w:rPr>
                <w:rFonts w:hint="eastAsia" w:ascii="方正仿宋_GBK" w:hAnsi="方正仿宋_GBK" w:eastAsia="方正仿宋_GBK" w:cs="宋体"/>
                <w:color w:val="000000"/>
                <w:kern w:val="0"/>
                <w:szCs w:val="21"/>
              </w:rPr>
              <w:t>、优惠办理</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方正仿宋_GBK" w:hAnsi="方正仿宋_GBK" w:eastAsia="方正仿宋_GBK" w:cs="宋体"/>
                <w:color w:val="000000"/>
                <w:kern w:val="0"/>
                <w:szCs w:val="21"/>
                <w:lang w:val="en-US" w:eastAsia="zh-CN"/>
              </w:rPr>
            </w:pPr>
            <w:r>
              <w:rPr>
                <w:rFonts w:hint="eastAsia" w:ascii="方正仿宋_GBK" w:hAnsi="方正仿宋_GBK" w:eastAsia="方正仿宋_GBK" w:cs="宋体"/>
                <w:color w:val="000000"/>
                <w:kern w:val="0"/>
                <w:szCs w:val="21"/>
                <w:lang w:val="en-US" w:eastAsia="zh-CN"/>
              </w:rPr>
              <w:t xml:space="preserve">4 </w:t>
            </w:r>
          </w:p>
        </w:tc>
        <w:tc>
          <w:tcPr>
            <w:tcW w:w="196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申报享受税收减免</w:t>
            </w:r>
          </w:p>
        </w:tc>
        <w:tc>
          <w:tcPr>
            <w:tcW w:w="463" w:type="dxa"/>
            <w:tcBorders>
              <w:top w:val="nil"/>
              <w:left w:val="nil"/>
              <w:bottom w:val="single" w:color="auto" w:sz="4" w:space="0"/>
              <w:right w:val="nil"/>
            </w:tcBorders>
            <w:vAlign w:val="center"/>
          </w:tcPr>
          <w:p>
            <w:pPr>
              <w:widowControl/>
              <w:jc w:val="center"/>
              <w:rPr>
                <w:rFonts w:hint="default" w:eastAsiaTheme="minorEastAsia"/>
                <w:lang w:val="en-US" w:eastAsia="zh-CN"/>
              </w:rPr>
            </w:pPr>
            <w:r>
              <w:rPr>
                <w:rFonts w:hint="eastAsia"/>
                <w:lang w:val="en-US" w:eastAsia="zh-CN"/>
              </w:rPr>
              <w:t>8</w:t>
            </w:r>
          </w:p>
        </w:tc>
        <w:tc>
          <w:tcPr>
            <w:tcW w:w="222" w:type="dxa"/>
            <w:tcBorders>
              <w:top w:val="nil"/>
              <w:left w:val="nil"/>
              <w:bottom w:val="single" w:color="auto" w:sz="4" w:space="0"/>
              <w:right w:val="single" w:color="auto" w:sz="4" w:space="0"/>
            </w:tcBorders>
          </w:tcPr>
          <w:p>
            <w:pPr>
              <w:widowControl/>
              <w:jc w:val="center"/>
            </w:pPr>
          </w:p>
        </w:tc>
        <w:tc>
          <w:tcPr>
            <w:tcW w:w="291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default" w:eastAsiaTheme="minorEastAsia"/>
                <w:lang w:val="en-US" w:eastAsia="zh-CN"/>
              </w:rPr>
              <w:drawing>
                <wp:inline distT="0" distB="0" distL="114300" distR="114300">
                  <wp:extent cx="1581785" cy="1581785"/>
                  <wp:effectExtent l="0" t="0" r="18415" b="18415"/>
                  <wp:docPr id="23" name="图片 23" descr="未命名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命名码 (6)"/>
                          <pic:cNvPicPr>
                            <a:picLocks noChangeAspect="1"/>
                          </pic:cNvPicPr>
                        </pic:nvPicPr>
                        <pic:blipFill>
                          <a:blip r:embed="rId12"/>
                          <a:stretch>
                            <a:fillRect/>
                          </a:stretch>
                        </pic:blipFill>
                        <pic:spPr>
                          <a:xfrm>
                            <a:off x="0" y="0"/>
                            <a:ext cx="1581785" cy="1581785"/>
                          </a:xfrm>
                          <a:prstGeom prst="rect">
                            <a:avLst/>
                          </a:prstGeom>
                        </pic:spPr>
                      </pic:pic>
                    </a:graphicData>
                  </a:graphic>
                </wp:inline>
              </w:drawing>
            </w:r>
          </w:p>
        </w:tc>
      </w:tr>
      <w:tr>
        <w:tblPrEx>
          <w:tblCellMar>
            <w:top w:w="0" w:type="dxa"/>
            <w:left w:w="108" w:type="dxa"/>
            <w:bottom w:w="0" w:type="dxa"/>
            <w:right w:w="108" w:type="dxa"/>
          </w:tblCellMar>
        </w:tblPrEx>
        <w:trPr>
          <w:trHeight w:val="1350" w:hRule="atLeast"/>
        </w:trPr>
        <w:tc>
          <w:tcPr>
            <w:tcW w:w="2009" w:type="dxa"/>
            <w:tcBorders>
              <w:top w:val="single" w:color="auto" w:sz="4" w:space="0"/>
              <w:left w:val="single" w:color="auto" w:sz="4" w:space="0"/>
              <w:bottom w:val="single" w:color="000000" w:sz="4" w:space="0"/>
              <w:right w:val="single" w:color="auto" w:sz="4" w:space="0"/>
            </w:tcBorders>
            <w:shd w:val="clear" w:color="auto" w:fill="auto"/>
            <w:noWrap/>
            <w:vAlign w:val="center"/>
          </w:tcPr>
          <w:p>
            <w:pPr>
              <w:widowControl/>
              <w:jc w:val="center"/>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lang w:val="en-US" w:eastAsia="zh-CN"/>
              </w:rPr>
              <w:t>四</w:t>
            </w:r>
            <w:r>
              <w:rPr>
                <w:rFonts w:hint="eastAsia" w:ascii="方正仿宋_GBK" w:hAnsi="方正仿宋_GBK" w:eastAsia="方正仿宋_GBK" w:cs="宋体"/>
                <w:color w:val="000000"/>
                <w:kern w:val="0"/>
                <w:szCs w:val="21"/>
              </w:rPr>
              <w:t>、证明办理</w:t>
            </w:r>
          </w:p>
        </w:tc>
        <w:tc>
          <w:tcPr>
            <w:tcW w:w="94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方正仿宋_GBK" w:hAnsi="方正仿宋_GBK" w:eastAsia="方正仿宋_GBK" w:cs="宋体"/>
                <w:color w:val="000000"/>
                <w:kern w:val="0"/>
                <w:szCs w:val="21"/>
                <w:lang w:eastAsia="zh-CN"/>
              </w:rPr>
            </w:pPr>
            <w:r>
              <w:rPr>
                <w:rFonts w:hint="eastAsia" w:ascii="方正仿宋_GBK" w:hAnsi="方正仿宋_GBK" w:eastAsia="方正仿宋_GBK" w:cs="宋体"/>
                <w:color w:val="000000"/>
                <w:kern w:val="0"/>
                <w:szCs w:val="21"/>
                <w:lang w:val="en-US" w:eastAsia="zh-CN"/>
              </w:rPr>
              <w:t>5</w:t>
            </w:r>
          </w:p>
        </w:tc>
        <w:tc>
          <w:tcPr>
            <w:tcW w:w="1964"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开具税收完税证明</w:t>
            </w:r>
          </w:p>
        </w:tc>
        <w:tc>
          <w:tcPr>
            <w:tcW w:w="463" w:type="dxa"/>
            <w:tcBorders>
              <w:top w:val="nil"/>
              <w:left w:val="nil"/>
              <w:bottom w:val="single" w:color="auto" w:sz="4" w:space="0"/>
              <w:right w:val="nil"/>
            </w:tcBorders>
            <w:vAlign w:val="center"/>
          </w:tcPr>
          <w:p>
            <w:pPr>
              <w:widowControl/>
              <w:jc w:val="center"/>
              <w:rPr>
                <w:rFonts w:hint="default" w:eastAsiaTheme="minorEastAsia"/>
                <w:lang w:val="en-US" w:eastAsia="zh-CN"/>
              </w:rPr>
            </w:pPr>
            <w:r>
              <w:rPr>
                <w:rFonts w:hint="eastAsia"/>
                <w:lang w:val="en-US" w:eastAsia="zh-CN"/>
              </w:rPr>
              <w:t>10</w:t>
            </w:r>
          </w:p>
        </w:tc>
        <w:tc>
          <w:tcPr>
            <w:tcW w:w="222" w:type="dxa"/>
            <w:tcBorders>
              <w:top w:val="nil"/>
              <w:left w:val="nil"/>
              <w:bottom w:val="single" w:color="auto" w:sz="4" w:space="0"/>
              <w:right w:val="single" w:color="auto" w:sz="4" w:space="0"/>
            </w:tcBorders>
          </w:tcPr>
          <w:p>
            <w:pPr>
              <w:widowControl/>
              <w:jc w:val="center"/>
            </w:pPr>
          </w:p>
        </w:tc>
        <w:tc>
          <w:tcPr>
            <w:tcW w:w="291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2"/>
              </w:rPr>
            </w:pPr>
            <w:r>
              <w:rPr>
                <w:rFonts w:hint="default" w:eastAsiaTheme="minorEastAsia"/>
                <w:lang w:val="en-US" w:eastAsia="zh-CN"/>
              </w:rPr>
              <w:drawing>
                <wp:inline distT="0" distB="0" distL="114300" distR="114300">
                  <wp:extent cx="1512570" cy="1512570"/>
                  <wp:effectExtent l="0" t="0" r="11430" b="11430"/>
                  <wp:docPr id="2" name="图片 2" descr="开具税收完税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开具税收完税证明"/>
                          <pic:cNvPicPr>
                            <a:picLocks noChangeAspect="1"/>
                          </pic:cNvPicPr>
                        </pic:nvPicPr>
                        <pic:blipFill>
                          <a:blip r:embed="rId13"/>
                          <a:stretch>
                            <a:fillRect/>
                          </a:stretch>
                        </pic:blipFill>
                        <pic:spPr>
                          <a:xfrm>
                            <a:off x="0" y="0"/>
                            <a:ext cx="1512570" cy="1512570"/>
                          </a:xfrm>
                          <a:prstGeom prst="rect">
                            <a:avLst/>
                          </a:prstGeom>
                        </pic:spPr>
                      </pic:pic>
                    </a:graphicData>
                  </a:graphic>
                </wp:inline>
              </w:drawing>
            </w:r>
          </w:p>
        </w:tc>
      </w:tr>
    </w:tbl>
    <w:p>
      <w:pPr>
        <w:pStyle w:val="2"/>
        <w:rPr>
          <w:rFonts w:hint="eastAsia" w:ascii="方正仿宋_GBK" w:hAnsi="方正仿宋_GBK" w:eastAsiaTheme="minorEastAsia"/>
          <w:lang w:val="en-US" w:eastAsia="zh-CN"/>
        </w:rPr>
      </w:pPr>
      <w:r>
        <w:rPr>
          <w:rFonts w:hint="eastAsia"/>
          <w:lang w:val="en-US" w:eastAsia="zh-CN"/>
        </w:rPr>
        <w:t xml:space="preserve"> </w:t>
      </w:r>
    </w:p>
    <w:p>
      <w:pPr>
        <w:rPr>
          <w:rFonts w:ascii="方正仿宋_GBK" w:hAnsi="方正仿宋_GBK" w:eastAsia="方正仿宋_GBK"/>
        </w:rPr>
      </w:pPr>
    </w:p>
    <w:p>
      <w:pPr>
        <w:widowControl/>
        <w:jc w:val="left"/>
        <w:rPr>
          <w:rFonts w:ascii="方正仿宋_GBK" w:hAnsi="方正仿宋_GBK" w:eastAsia="方正仿宋_GBK"/>
        </w:rPr>
      </w:pPr>
    </w:p>
    <w:p>
      <w:pPr>
        <w:widowControl/>
        <w:jc w:val="left"/>
        <w:rPr>
          <w:rFonts w:ascii="方正仿宋_GBK" w:hAnsi="方正仿宋_GBK" w:eastAsia="方正仿宋_GBK"/>
        </w:rPr>
        <w:sectPr>
          <w:footerReference r:id="rId4" w:type="default"/>
          <w:pgSz w:w="11906" w:h="16838"/>
          <w:pgMar w:top="720" w:right="720" w:bottom="720" w:left="720" w:header="851" w:footer="992" w:gutter="0"/>
          <w:pgNumType w:start="1"/>
          <w:cols w:space="425" w:num="1"/>
          <w:docGrid w:type="lines" w:linePitch="312" w:charSpace="0"/>
        </w:sectPr>
      </w:pPr>
    </w:p>
    <w:p>
      <w:pPr>
        <w:pStyle w:val="2"/>
        <w:ind w:firstLine="880" w:firstLineChars="200"/>
        <w:rPr>
          <w:rFonts w:ascii="方正仿宋_GBK" w:hAnsi="方正仿宋_GBK" w:eastAsia="方正仿宋_GBK"/>
        </w:rPr>
      </w:pPr>
      <w:bookmarkStart w:id="1" w:name="_Toc32407"/>
      <w:r>
        <w:rPr>
          <w:rFonts w:hint="eastAsia" w:ascii="方正仿宋_GBK" w:hAnsi="方正仿宋_GBK" w:eastAsia="方正仿宋_GBK"/>
        </w:rPr>
        <w:t>办事不找关系路径</w:t>
      </w:r>
      <w:bookmarkEnd w:id="1"/>
    </w:p>
    <w:p>
      <w:pPr>
        <w:tabs>
          <w:tab w:val="left" w:pos="1131"/>
        </w:tabs>
        <w:rPr>
          <w:rFonts w:hint="eastAsia" w:ascii="方正公文小标宋" w:hAnsi="方正公文小标宋" w:eastAsia="方正公文小标宋" w:cs="方正公文小标宋"/>
          <w:sz w:val="28"/>
          <w:szCs w:val="28"/>
          <w:lang w:eastAsia="zh-CN"/>
        </w:rPr>
        <w:sectPr>
          <w:pgSz w:w="11906" w:h="16838"/>
          <w:pgMar w:top="720" w:right="720" w:bottom="720" w:left="720" w:header="851" w:footer="992" w:gutter="0"/>
          <w:cols w:space="425" w:num="1"/>
          <w:docGrid w:type="lines" w:linePitch="312" w:charSpace="0"/>
        </w:sectPr>
      </w:pPr>
      <w:r>
        <w:rPr>
          <w:rFonts w:ascii="方正仿宋_GBK" w:hAnsi="方正仿宋_GBK" w:eastAsia="方正仿宋_GBK"/>
        </w:rPr>
        <w:tab/>
      </w:r>
      <w:r>
        <w:rPr>
          <w:rFonts w:hint="eastAsia" w:ascii="方正公文小标宋" w:hAnsi="方正公文小标宋" w:eastAsia="方正公文小标宋" w:cs="方正公文小标宋"/>
          <w:sz w:val="28"/>
          <w:szCs w:val="28"/>
          <w:lang w:eastAsia="zh-CN"/>
        </w:rPr>
        <w:drawing>
          <wp:inline distT="0" distB="0" distL="114300" distR="114300">
            <wp:extent cx="5782310" cy="4681855"/>
            <wp:effectExtent l="0" t="0" r="8890" b="4445"/>
            <wp:docPr id="4" name="图片 4" descr="办事不找关系（二分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办事不找关系（二分局）"/>
                    <pic:cNvPicPr>
                      <a:picLocks noChangeAspect="1"/>
                    </pic:cNvPicPr>
                  </pic:nvPicPr>
                  <pic:blipFill>
                    <a:blip r:embed="rId14"/>
                    <a:stretch>
                      <a:fillRect/>
                    </a:stretch>
                  </pic:blipFill>
                  <pic:spPr>
                    <a:xfrm>
                      <a:off x="0" y="0"/>
                      <a:ext cx="5782310" cy="4681855"/>
                    </a:xfrm>
                    <a:prstGeom prst="rect">
                      <a:avLst/>
                    </a:prstGeom>
                  </pic:spPr>
                </pic:pic>
              </a:graphicData>
            </a:graphic>
          </wp:inline>
        </w:drawing>
      </w:r>
    </w:p>
    <w:p>
      <w:pPr>
        <w:pStyle w:val="2"/>
        <w:ind w:firstLine="880" w:firstLineChars="200"/>
        <w:rPr>
          <w:rFonts w:hint="eastAsia" w:ascii="方正仿宋_GBK" w:hAnsi="方正仿宋_GBK" w:eastAsia="方正仿宋_GBK"/>
          <w:lang w:val="en-US" w:eastAsia="zh-CN"/>
        </w:rPr>
      </w:pPr>
      <w:bookmarkStart w:id="2" w:name="_Toc128733553"/>
      <w:bookmarkStart w:id="3" w:name="_Toc128599265"/>
      <w:bookmarkStart w:id="4" w:name="_Toc128733481"/>
      <w:bookmarkStart w:id="5" w:name="_Toc21472"/>
      <w:r>
        <w:rPr>
          <w:rFonts w:ascii="方正仿宋_GBK" w:hAnsi="方正仿宋_GBK" w:eastAsia="方正仿宋_GBK"/>
        </w:rPr>
        <w:drawing>
          <wp:anchor distT="0" distB="0" distL="114300" distR="114300" simplePos="0" relativeHeight="251660288" behindDoc="1" locked="0" layoutInCell="1" allowOverlap="1">
            <wp:simplePos x="0" y="0"/>
            <wp:positionH relativeFrom="column">
              <wp:posOffset>4469130</wp:posOffset>
            </wp:positionH>
            <wp:positionV relativeFrom="paragraph">
              <wp:posOffset>883920</wp:posOffset>
            </wp:positionV>
            <wp:extent cx="1783080" cy="1783080"/>
            <wp:effectExtent l="0" t="0" r="45720" b="45720"/>
            <wp:wrapTight wrapText="bothSides">
              <wp:wrapPolygon>
                <wp:start x="0" y="0"/>
                <wp:lineTo x="0" y="21462"/>
                <wp:lineTo x="21462" y="21462"/>
                <wp:lineTo x="21462"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83080" cy="1783080"/>
                    </a:xfrm>
                    <a:prstGeom prst="rect">
                      <a:avLst/>
                    </a:prstGeom>
                    <a:noFill/>
                    <a:ln>
                      <a:noFill/>
                    </a:ln>
                  </pic:spPr>
                </pic:pic>
              </a:graphicData>
            </a:graphic>
          </wp:anchor>
        </w:drawing>
      </w:r>
    </w:p>
    <w:p>
      <w:pPr>
        <w:pStyle w:val="2"/>
        <w:ind w:firstLine="880" w:firstLineChars="200"/>
        <w:rPr>
          <w:rFonts w:hint="default" w:ascii="方正仿宋_GBK" w:hAnsi="方正仿宋_GBK" w:eastAsia="方正仿宋_GBK"/>
          <w:lang w:val="en-US" w:eastAsia="zh-CN"/>
        </w:rPr>
      </w:pPr>
      <w:r>
        <w:rPr>
          <w:rFonts w:hint="eastAsia" w:ascii="方正仿宋_GBK" w:hAnsi="方正仿宋_GBK" w:eastAsia="方正仿宋_GBK"/>
          <w:lang w:val="en-US" w:eastAsia="zh-CN"/>
        </w:rPr>
        <w:t>第</w:t>
      </w:r>
      <w:r>
        <w:rPr>
          <w:rFonts w:hint="eastAsia" w:ascii="方正仿宋_GBK" w:hAnsi="方正仿宋_GBK" w:eastAsia="方正仿宋_GBK"/>
          <w:lang w:eastAsia="zh-CN"/>
        </w:rPr>
        <w:t>二</w:t>
      </w:r>
      <w:r>
        <w:rPr>
          <w:rFonts w:hint="eastAsia" w:ascii="方正仿宋_GBK" w:hAnsi="方正仿宋_GBK" w:eastAsia="方正仿宋_GBK"/>
          <w:lang w:val="en-US" w:eastAsia="zh-CN"/>
        </w:rPr>
        <w:t>税务</w:t>
      </w:r>
      <w:r>
        <w:rPr>
          <w:rFonts w:hint="eastAsia" w:ascii="方正仿宋_GBK" w:hAnsi="方正仿宋_GBK" w:eastAsia="方正仿宋_GBK"/>
        </w:rPr>
        <w:t>分局办税服务</w:t>
      </w:r>
      <w:bookmarkEnd w:id="2"/>
      <w:bookmarkEnd w:id="3"/>
      <w:bookmarkEnd w:id="4"/>
      <w:r>
        <w:rPr>
          <w:rFonts w:hint="eastAsia" w:ascii="方正仿宋_GBK" w:hAnsi="方正仿宋_GBK" w:eastAsia="方正仿宋_GBK"/>
          <w:lang w:eastAsia="zh-CN"/>
        </w:rPr>
        <w:t>窗口</w:t>
      </w:r>
      <w:bookmarkEnd w:id="5"/>
    </w:p>
    <w:tbl>
      <w:tblPr>
        <w:tblStyle w:val="13"/>
        <w:tblpPr w:leftFromText="180" w:rightFromText="180" w:vertAnchor="text" w:horzAnchor="page" w:tblpX="1657" w:tblpY="630"/>
        <w:tblOverlap w:val="never"/>
        <w:tblW w:w="8898" w:type="dxa"/>
        <w:tblInd w:w="0" w:type="dxa"/>
        <w:tblLayout w:type="fixed"/>
        <w:tblCellMar>
          <w:top w:w="0" w:type="dxa"/>
          <w:left w:w="108" w:type="dxa"/>
          <w:bottom w:w="0" w:type="dxa"/>
          <w:right w:w="108" w:type="dxa"/>
        </w:tblCellMar>
      </w:tblPr>
      <w:tblGrid>
        <w:gridCol w:w="648"/>
        <w:gridCol w:w="3615"/>
        <w:gridCol w:w="2910"/>
        <w:gridCol w:w="1725"/>
      </w:tblGrid>
      <w:tr>
        <w:tblPrEx>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序号</w:t>
            </w:r>
          </w:p>
        </w:tc>
        <w:tc>
          <w:tcPr>
            <w:tcW w:w="36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机构名称</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地  址</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b/>
                <w:bCs/>
                <w:color w:val="000000"/>
                <w:sz w:val="20"/>
                <w:szCs w:val="20"/>
              </w:rPr>
            </w:pPr>
            <w:r>
              <w:rPr>
                <w:rFonts w:hint="eastAsia" w:ascii="方正仿宋_GBK" w:hAnsi="方正仿宋_GBK" w:eastAsia="方正仿宋_GBK" w:cs="宋体"/>
                <w:b/>
                <w:bCs/>
                <w:color w:val="000000"/>
                <w:kern w:val="0"/>
                <w:sz w:val="20"/>
                <w:szCs w:val="20"/>
                <w:lang w:bidi="ar"/>
              </w:rPr>
              <w:t>联系电话</w:t>
            </w:r>
          </w:p>
        </w:tc>
      </w:tr>
      <w:tr>
        <w:tblPrEx>
          <w:tblCellMar>
            <w:top w:w="0" w:type="dxa"/>
            <w:left w:w="108" w:type="dxa"/>
            <w:bottom w:w="0" w:type="dxa"/>
            <w:right w:w="108" w:type="dxa"/>
          </w:tblCellMar>
        </w:tblPrEx>
        <w:trPr>
          <w:trHeight w:val="1000" w:hRule="atLeast"/>
        </w:trPr>
        <w:tc>
          <w:tcPr>
            <w:tcW w:w="64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1</w:t>
            </w:r>
          </w:p>
        </w:tc>
        <w:tc>
          <w:tcPr>
            <w:tcW w:w="361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left"/>
              <w:textAlignment w:val="center"/>
              <w:rPr>
                <w:rFonts w:ascii="方正仿宋_GBK" w:hAnsi="方正仿宋_GBK" w:eastAsia="方正仿宋_GBK" w:cs="宋体"/>
                <w:color w:val="000000"/>
                <w:sz w:val="21"/>
                <w:szCs w:val="21"/>
              </w:rPr>
            </w:pPr>
            <w:r>
              <w:rPr>
                <w:rFonts w:hint="eastAsia" w:ascii="方正仿宋_GBK" w:hAnsi="方正仿宋_GBK" w:eastAsia="方正仿宋_GBK" w:cs="宋体"/>
                <w:color w:val="000000"/>
                <w:kern w:val="0"/>
                <w:sz w:val="21"/>
                <w:szCs w:val="21"/>
                <w:lang w:eastAsia="zh-CN" w:bidi="ar"/>
              </w:rPr>
              <w:t>国家税务总局丹东市税务局第二税务分局车购税窗口（</w:t>
            </w:r>
            <w:r>
              <w:rPr>
                <w:rFonts w:hint="eastAsia" w:ascii="方正仿宋_GBK" w:hAnsi="方正仿宋_GBK" w:eastAsia="方正仿宋_GBK" w:cs="宋体"/>
                <w:color w:val="000000"/>
                <w:kern w:val="0"/>
                <w:sz w:val="21"/>
                <w:szCs w:val="21"/>
                <w:lang w:val="en-US" w:eastAsia="zh-CN" w:bidi="ar"/>
              </w:rPr>
              <w:t>丹东市税务局元宝区税务局办税服务大厅</w:t>
            </w:r>
            <w:r>
              <w:rPr>
                <w:rFonts w:hint="eastAsia" w:ascii="方正仿宋_GBK" w:hAnsi="方正仿宋_GBK" w:eastAsia="方正仿宋_GBK" w:cs="宋体"/>
                <w:color w:val="000000"/>
                <w:kern w:val="0"/>
                <w:sz w:val="21"/>
                <w:szCs w:val="21"/>
                <w:lang w:eastAsia="zh-CN" w:bidi="ar"/>
              </w:rPr>
              <w:t>）</w:t>
            </w:r>
          </w:p>
        </w:tc>
        <w:tc>
          <w:tcPr>
            <w:tcW w:w="291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辽宁省丹东市锦山大街83号</w:t>
            </w:r>
          </w:p>
        </w:tc>
        <w:tc>
          <w:tcPr>
            <w:tcW w:w="172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21"/>
                <w:szCs w:val="21"/>
                <w:lang w:val="en-US" w:eastAsia="zh-CN"/>
              </w:rPr>
            </w:pPr>
            <w:r>
              <w:rPr>
                <w:rFonts w:hint="eastAsia" w:ascii="方正仿宋_GBK" w:hAnsi="方正仿宋_GBK" w:eastAsia="方正仿宋_GBK" w:cs="宋体"/>
                <w:color w:val="000000"/>
                <w:kern w:val="0"/>
                <w:sz w:val="21"/>
                <w:szCs w:val="21"/>
                <w:lang w:bidi="ar"/>
              </w:rPr>
              <w:t>041</w:t>
            </w:r>
            <w:r>
              <w:rPr>
                <w:rFonts w:hint="eastAsia" w:ascii="方正仿宋_GBK" w:hAnsi="方正仿宋_GBK" w:eastAsia="方正仿宋_GBK" w:cs="宋体"/>
                <w:color w:val="000000"/>
                <w:kern w:val="0"/>
                <w:sz w:val="21"/>
                <w:szCs w:val="21"/>
                <w:lang w:val="en-US" w:eastAsia="zh-CN" w:bidi="ar"/>
              </w:rPr>
              <w:t>5-2813668</w:t>
            </w:r>
          </w:p>
        </w:tc>
      </w:tr>
      <w:tr>
        <w:tblPrEx>
          <w:tblCellMar>
            <w:top w:w="0" w:type="dxa"/>
            <w:left w:w="108" w:type="dxa"/>
            <w:bottom w:w="0" w:type="dxa"/>
            <w:right w:w="108" w:type="dxa"/>
          </w:tblCellMar>
        </w:tblPrEx>
        <w:trPr>
          <w:trHeight w:val="1000" w:hRule="atLeast"/>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方正仿宋_GBK" w:hAnsi="方正仿宋_GBK" w:eastAsia="方正仿宋_GBK" w:cs="宋体"/>
                <w:color w:val="000000"/>
                <w:sz w:val="18"/>
                <w:szCs w:val="18"/>
              </w:rPr>
            </w:pPr>
            <w:r>
              <w:rPr>
                <w:rFonts w:hint="eastAsia" w:ascii="方正仿宋_GBK" w:hAnsi="方正仿宋_GBK" w:eastAsia="方正仿宋_GBK" w:cs="宋体"/>
                <w:color w:val="000000"/>
                <w:kern w:val="0"/>
                <w:sz w:val="18"/>
                <w:szCs w:val="18"/>
                <w:lang w:bidi="ar"/>
              </w:rPr>
              <w:t>2</w:t>
            </w:r>
          </w:p>
        </w:tc>
        <w:tc>
          <w:tcPr>
            <w:tcW w:w="36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ascii="方正仿宋_GBK" w:hAnsi="方正仿宋_GBK" w:eastAsia="方正仿宋_GBK" w:cs="宋体"/>
                <w:color w:val="000000"/>
                <w:sz w:val="21"/>
                <w:szCs w:val="21"/>
              </w:rPr>
            </w:pPr>
            <w:r>
              <w:rPr>
                <w:rFonts w:hint="eastAsia" w:ascii="方正仿宋_GBK" w:hAnsi="方正仿宋_GBK" w:eastAsia="方正仿宋_GBK" w:cs="宋体"/>
                <w:color w:val="000000"/>
                <w:kern w:val="0"/>
                <w:sz w:val="21"/>
                <w:szCs w:val="21"/>
                <w:lang w:eastAsia="zh-CN" w:bidi="ar"/>
              </w:rPr>
              <w:t>国家税务总局丹东市税务局第二税务分局契税窗口（</w:t>
            </w:r>
            <w:r>
              <w:rPr>
                <w:rFonts w:hint="eastAsia" w:ascii="方正仿宋_GBK" w:hAnsi="方正仿宋_GBK" w:eastAsia="方正仿宋_GBK" w:cs="宋体"/>
                <w:color w:val="000000"/>
                <w:kern w:val="0"/>
                <w:sz w:val="21"/>
                <w:szCs w:val="21"/>
                <w:lang w:val="en-US" w:eastAsia="zh-CN" w:bidi="ar"/>
              </w:rPr>
              <w:t>丹东市不动产登记和房屋交易大厅</w:t>
            </w:r>
            <w:r>
              <w:rPr>
                <w:rFonts w:hint="eastAsia" w:ascii="方正仿宋_GBK" w:hAnsi="方正仿宋_GBK" w:eastAsia="方正仿宋_GBK" w:cs="宋体"/>
                <w:color w:val="000000"/>
                <w:kern w:val="0"/>
                <w:sz w:val="21"/>
                <w:szCs w:val="21"/>
                <w:lang w:eastAsia="zh-CN" w:bidi="ar"/>
              </w:rPr>
              <w:t>）</w:t>
            </w:r>
          </w:p>
        </w:tc>
        <w:tc>
          <w:tcPr>
            <w:tcW w:w="29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辽宁省丹东市花园路18号</w:t>
            </w:r>
          </w:p>
        </w:tc>
        <w:tc>
          <w:tcPr>
            <w:tcW w:w="17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方正仿宋_GBK" w:hAnsi="方正仿宋_GBK" w:eastAsia="方正仿宋_GBK" w:cs="宋体"/>
                <w:color w:val="000000"/>
                <w:sz w:val="21"/>
                <w:szCs w:val="21"/>
                <w:lang w:val="en-US" w:eastAsia="zh-CN"/>
              </w:rPr>
            </w:pPr>
            <w:r>
              <w:rPr>
                <w:rFonts w:hint="eastAsia" w:ascii="方正仿宋_GBK" w:hAnsi="方正仿宋_GBK" w:eastAsia="方正仿宋_GBK" w:cs="宋体"/>
                <w:color w:val="000000"/>
                <w:kern w:val="0"/>
                <w:sz w:val="21"/>
                <w:szCs w:val="21"/>
                <w:lang w:val="en-US" w:eastAsia="zh-CN" w:bidi="ar"/>
              </w:rPr>
              <w:t>0415-2136169</w:t>
            </w:r>
          </w:p>
        </w:tc>
      </w:tr>
    </w:tbl>
    <w:p>
      <w:pPr>
        <w:rPr>
          <w:rFonts w:ascii="方正仿宋_GBK" w:hAnsi="方正仿宋_GBK" w:eastAsia="方正仿宋_GBK"/>
          <w:sz w:val="28"/>
          <w:szCs w:val="28"/>
        </w:rPr>
      </w:pPr>
    </w:p>
    <w:p>
      <w:pPr>
        <w:widowControl/>
        <w:jc w:val="left"/>
        <w:rPr>
          <w:rFonts w:ascii="方正仿宋_GBK" w:hAnsi="方正仿宋_GBK" w:eastAsia="方正仿宋_GBK"/>
        </w:rPr>
        <w:sectPr>
          <w:pgSz w:w="11906" w:h="16838"/>
          <w:pgMar w:top="720" w:right="720" w:bottom="720" w:left="720" w:header="851" w:footer="992" w:gutter="0"/>
          <w:cols w:space="425" w:num="1"/>
          <w:docGrid w:type="lines" w:linePitch="312" w:charSpace="0"/>
        </w:sectPr>
      </w:pPr>
    </w:p>
    <w:p>
      <w:pPr>
        <w:pStyle w:val="2"/>
        <w:rPr>
          <w:rFonts w:ascii="方正仿宋_GBK" w:hAnsi="方正仿宋_GBK" w:eastAsia="方正仿宋_GBK"/>
        </w:rPr>
      </w:pPr>
      <w:bookmarkStart w:id="6" w:name="_Toc8760"/>
      <w:r>
        <w:rPr>
          <w:rFonts w:hint="eastAsia" w:ascii="方正仿宋_GBK" w:hAnsi="方正仿宋_GBK" w:eastAsia="方正仿宋_GBK"/>
        </w:rPr>
        <w:t>合规办事业务指南</w:t>
      </w:r>
      <w:bookmarkEnd w:id="6"/>
    </w:p>
    <w:p>
      <w:pPr>
        <w:pStyle w:val="3"/>
        <w:outlineLvl w:val="0"/>
        <w:rPr>
          <w:rFonts w:ascii="方正仿宋_GBK" w:hAnsi="方正仿宋_GBK" w:eastAsia="方正仿宋_GBK"/>
        </w:rPr>
      </w:pPr>
      <w:bookmarkStart w:id="7" w:name="_Toc10370"/>
      <w:bookmarkStart w:id="8" w:name="_Toc19046"/>
      <w:bookmarkStart w:id="9" w:name="_Toc10744"/>
      <w:bookmarkStart w:id="10" w:name="_Toc15164"/>
      <w:bookmarkStart w:id="11" w:name="_Toc15237"/>
      <w:bookmarkStart w:id="12" w:name="_Toc12049"/>
      <w:bookmarkStart w:id="13" w:name="_Toc26107"/>
      <w:bookmarkStart w:id="14" w:name="_Toc128733556"/>
      <w:bookmarkStart w:id="15" w:name="_Toc32711"/>
      <w:bookmarkStart w:id="16" w:name="_Toc3820"/>
      <w:bookmarkStart w:id="17" w:name="_Toc1597"/>
      <w:bookmarkStart w:id="18" w:name="_Toc22649"/>
      <w:bookmarkStart w:id="19" w:name="_Toc128733560"/>
      <w:bookmarkStart w:id="20" w:name="_Toc15400"/>
      <w:bookmarkStart w:id="21" w:name="_Toc23554"/>
      <w:bookmarkStart w:id="22" w:name="_Toc5457"/>
      <w:bookmarkStart w:id="23" w:name="_Toc13108"/>
      <w:r>
        <w:rPr>
          <w:rFonts w:hint="eastAsia" w:ascii="方正仿宋_GBK" w:hAnsi="方正仿宋_GBK" w:eastAsia="方正仿宋_GBK"/>
          <w:lang w:eastAsia="zh-CN"/>
        </w:rPr>
        <w:t>一</w:t>
      </w:r>
      <w:r>
        <w:rPr>
          <w:rFonts w:hint="eastAsia" w:ascii="方正仿宋_GBK" w:hAnsi="方正仿宋_GBK" w:eastAsia="方正仿宋_GBK"/>
        </w:rPr>
        <w:t xml:space="preserve">、 </w:t>
      </w:r>
      <w:r>
        <w:rPr>
          <w:rFonts w:ascii="方正仿宋_GBK" w:hAnsi="方正仿宋_GBK" w:eastAsia="方正仿宋_GBK"/>
        </w:rPr>
        <w:t xml:space="preserve"> </w:t>
      </w:r>
      <w:r>
        <w:rPr>
          <w:rFonts w:hint="eastAsia" w:ascii="方正仿宋_GBK" w:hAnsi="方正仿宋_GBK" w:eastAsia="方正仿宋_GBK"/>
        </w:rPr>
        <w:t>发票</w:t>
      </w:r>
      <w:bookmarkEnd w:id="7"/>
      <w:bookmarkEnd w:id="8"/>
      <w:bookmarkEnd w:id="9"/>
      <w:bookmarkEnd w:id="10"/>
      <w:bookmarkEnd w:id="11"/>
      <w:bookmarkEnd w:id="12"/>
      <w:bookmarkEnd w:id="13"/>
      <w:r>
        <w:rPr>
          <w:rFonts w:hint="eastAsia" w:ascii="方正仿宋_GBK" w:hAnsi="方正仿宋_GBK" w:eastAsia="方正仿宋_GBK"/>
        </w:rPr>
        <w:t>业务</w:t>
      </w:r>
      <w:bookmarkEnd w:id="14"/>
      <w:bookmarkEnd w:id="15"/>
    </w:p>
    <w:p>
      <w:pPr>
        <w:pStyle w:val="4"/>
        <w:outlineLvl w:val="1"/>
        <w:rPr>
          <w:rFonts w:ascii="方正仿宋_GBK" w:hAnsi="方正仿宋_GBK" w:eastAsia="方正仿宋_GBK"/>
        </w:rPr>
      </w:pPr>
      <w:bookmarkStart w:id="24" w:name="_Toc127988668"/>
      <w:bookmarkStart w:id="25" w:name="_Toc20754"/>
      <w:bookmarkStart w:id="26" w:name="_Toc13255"/>
      <w:bookmarkStart w:id="27" w:name="_Toc12111"/>
      <w:bookmarkStart w:id="28" w:name="_Toc3056"/>
      <w:bookmarkStart w:id="29" w:name="_Toc21873"/>
      <w:bookmarkStart w:id="30" w:name="_Toc409"/>
      <w:bookmarkStart w:id="31" w:name="_Toc24949"/>
      <w:bookmarkStart w:id="32" w:name="_Toc23604"/>
      <w:r>
        <w:rPr>
          <w:rFonts w:hint="eastAsia" w:ascii="方正仿宋_GBK" w:hAnsi="方正仿宋_GBK" w:eastAsia="方正仿宋_GBK"/>
          <w:lang w:val="en-US" w:eastAsia="zh-CN"/>
        </w:rPr>
        <w:t>1</w:t>
      </w:r>
      <w:r>
        <w:rPr>
          <w:rFonts w:hint="eastAsia" w:ascii="方正仿宋_GBK" w:hAnsi="方正仿宋_GBK" w:eastAsia="方正仿宋_GBK"/>
        </w:rPr>
        <w:t>.代开增值税普通发票</w:t>
      </w:r>
      <w:bookmarkEnd w:id="24"/>
      <w:bookmarkEnd w:id="25"/>
      <w:bookmarkEnd w:id="26"/>
      <w:bookmarkEnd w:id="27"/>
      <w:bookmarkEnd w:id="28"/>
      <w:bookmarkEnd w:id="29"/>
      <w:bookmarkEnd w:id="30"/>
      <w:bookmarkEnd w:id="31"/>
      <w:bookmarkEnd w:id="32"/>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1763395" cy="1763395"/>
            <wp:effectExtent l="0" t="0" r="1905" b="1905"/>
            <wp:docPr id="15" name="图片 15" descr="代开增值税普通发票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代开增值税普通发票 (2)"/>
                    <pic:cNvPicPr>
                      <a:picLocks noChangeAspect="1"/>
                    </pic:cNvPicPr>
                  </pic:nvPicPr>
                  <pic:blipFill>
                    <a:blip r:embed="rId16"/>
                    <a:stretch>
                      <a:fillRect/>
                    </a:stretch>
                  </pic:blipFill>
                  <pic:spPr>
                    <a:xfrm>
                      <a:off x="0" y="0"/>
                      <a:ext cx="1763395" cy="1763395"/>
                    </a:xfrm>
                    <a:prstGeom prst="rect">
                      <a:avLst/>
                    </a:prstGeom>
                  </pic:spPr>
                </pic:pic>
              </a:graphicData>
            </a:graphic>
          </wp:inline>
        </w:drawing>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宋体"/>
          <w:sz w:val="24"/>
          <w:lang w:bidi="ar"/>
        </w:rPr>
        <w:t>纳税人发生增值税应税行为，符合代开增值税普通发票的条件，可向主管税务机关申请代开。</w:t>
      </w:r>
    </w:p>
    <w:p>
      <w:pPr>
        <w:spacing w:line="360" w:lineRule="auto"/>
        <w:ind w:firstLine="480"/>
        <w:rPr>
          <w:rFonts w:ascii="方正仿宋_GBK" w:hAnsi="方正仿宋_GBK" w:eastAsia="方正仿宋_GBK" w:cs="宋体"/>
          <w:sz w:val="24"/>
          <w:lang w:bidi="ar"/>
        </w:rPr>
      </w:pPr>
      <w:r>
        <w:rPr>
          <w:rFonts w:hint="eastAsia" w:ascii="方正仿宋_GBK" w:hAnsi="方正仿宋_GBK" w:eastAsia="方正仿宋_GBK" w:cs="黑体"/>
          <w:b/>
          <w:bCs/>
          <w:sz w:val="24"/>
          <w:lang w:val="en-US" w:eastAsia="zh-CN"/>
        </w:rPr>
        <w:t>1.</w:t>
      </w:r>
      <w:r>
        <w:rPr>
          <w:rFonts w:hint="eastAsia" w:ascii="方正仿宋_GBK" w:hAnsi="方正仿宋_GBK" w:eastAsia="方正仿宋_GBK" w:cs="黑体"/>
          <w:b/>
          <w:bCs/>
          <w:sz w:val="24"/>
        </w:rPr>
        <w:t>1  需提供要件</w:t>
      </w:r>
    </w:p>
    <w:p>
      <w:pPr>
        <w:spacing w:line="360" w:lineRule="auto"/>
        <w:ind w:firstLine="480"/>
        <w:rPr>
          <w:rFonts w:hint="eastAsia" w:ascii="方正仿宋_GBK" w:hAnsi="方正仿宋_GBK" w:eastAsia="方正仿宋_GBK" w:cs="Calibri"/>
          <w:sz w:val="24"/>
        </w:rPr>
      </w:pPr>
      <w:r>
        <w:rPr>
          <w:rFonts w:hint="eastAsia" w:ascii="方正仿宋_GBK" w:hAnsi="方正仿宋_GBK" w:eastAsia="方正仿宋_GBK" w:cs="宋体"/>
          <w:sz w:val="24"/>
          <w:lang w:bidi="ar"/>
        </w:rPr>
        <w:t xml:space="preserve"> </w:t>
      </w:r>
      <w:r>
        <w:rPr>
          <w:rFonts w:hint="default" w:ascii="Calibri" w:hAnsi="Calibri" w:eastAsia="方正仿宋_GBK" w:cs="Calibri"/>
          <w:sz w:val="21"/>
          <w:szCs w:val="21"/>
          <w:lang w:bidi="ar"/>
        </w:rPr>
        <w:t>①</w:t>
      </w:r>
      <w:r>
        <w:rPr>
          <w:rFonts w:hint="eastAsia" w:ascii="方正仿宋_GBK" w:hAnsi="方正仿宋_GBK" w:eastAsia="方正仿宋_GBK" w:cs="宋体"/>
          <w:sz w:val="24"/>
          <w:lang w:bidi="ar"/>
        </w:rPr>
        <w:t>《代开增值税发票缴纳税款申报单》</w:t>
      </w:r>
      <w:r>
        <w:rPr>
          <w:rFonts w:hint="eastAsia" w:ascii="方正仿宋_GBK" w:hAnsi="方正仿宋_GBK" w:eastAsia="方正仿宋_GBK" w:cs="Calibri"/>
          <w:sz w:val="24"/>
        </w:rPr>
        <w:t>（资料来源：办税服务厅</w:t>
      </w:r>
      <w:r>
        <w:rPr>
          <w:rFonts w:hint="eastAsia" w:ascii="方正仿宋_GBK" w:hAnsi="方正仿宋_GBK" w:eastAsia="方正仿宋_GBK" w:cs="Calibri"/>
          <w:sz w:val="24"/>
          <w:lang w:eastAsia="zh-CN"/>
        </w:rPr>
        <w:t>窗口</w:t>
      </w:r>
      <w:r>
        <w:rPr>
          <w:rFonts w:hint="eastAsia" w:ascii="方正仿宋_GBK" w:hAnsi="方正仿宋_GBK" w:eastAsia="方正仿宋_GBK" w:cs="Calibri"/>
          <w:sz w:val="24"/>
        </w:rPr>
        <w:t>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②</w:t>
      </w:r>
      <w:r>
        <w:rPr>
          <w:rFonts w:hint="eastAsia" w:ascii="方正仿宋_GBK" w:hAnsi="方正仿宋_GBK" w:eastAsia="方正仿宋_GBK" w:cs="宋体"/>
          <w:sz w:val="24"/>
          <w:lang w:bidi="ar"/>
        </w:rPr>
        <w:t>自然人申请代开，还需提供身份证件原件及复印件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lang w:bidi="ar"/>
        </w:rPr>
      </w:pPr>
      <w:r>
        <w:rPr>
          <w:rFonts w:ascii="方正仿宋_GBK" w:hAnsi="方正仿宋_GBK" w:eastAsia="方正仿宋_GBK" w:cs="Calibri"/>
          <w:sz w:val="24"/>
          <w:lang w:bidi="ar"/>
        </w:rPr>
        <w:t>③</w:t>
      </w:r>
      <w:r>
        <w:rPr>
          <w:rFonts w:hint="eastAsia" w:ascii="方正仿宋_GBK" w:hAnsi="方正仿宋_GBK" w:eastAsia="方正仿宋_GBK" w:cs="宋体"/>
          <w:sz w:val="24"/>
          <w:lang w:bidi="ar"/>
        </w:rPr>
        <w:t>已办理税务登记的纳税人申请代开，还需提供加载统一社会信用代码的营业执照（或税务登记证、组织机构代码证等）原件和经办人身份证件原件及复印件</w:t>
      </w:r>
      <w:r>
        <w:rPr>
          <w:rFonts w:hint="eastAsia" w:ascii="方正仿宋_GBK" w:hAnsi="方正仿宋_GBK" w:eastAsia="方正仿宋_GBK" w:cs="Calibri"/>
          <w:sz w:val="24"/>
        </w:rPr>
        <w:t>（资料来源：纳税人）</w:t>
      </w:r>
    </w:p>
    <w:p>
      <w:pPr>
        <w:spacing w:line="360" w:lineRule="auto"/>
        <w:ind w:firstLine="480" w:firstLineChars="200"/>
        <w:rPr>
          <w:rFonts w:ascii="方正仿宋_GBK" w:hAnsi="方正仿宋_GBK" w:eastAsia="方正仿宋_GBK" w:cs="Calibri"/>
          <w:sz w:val="24"/>
        </w:rPr>
      </w:pPr>
      <w:r>
        <w:rPr>
          <w:rFonts w:ascii="方正仿宋_GBK" w:hAnsi="方正仿宋_GBK" w:eastAsia="方正仿宋_GBK" w:cs="Calibri"/>
          <w:sz w:val="24"/>
        </w:rPr>
        <w:t>④</w:t>
      </w:r>
      <w:r>
        <w:rPr>
          <w:rFonts w:hint="eastAsia" w:ascii="方正仿宋_GBK" w:hAnsi="方正仿宋_GBK" w:eastAsia="方正仿宋_GBK" w:cs="宋体"/>
          <w:sz w:val="24"/>
          <w:lang w:bidi="ar"/>
        </w:rPr>
        <w:t>纳税人转让取得的不动产，还需提供不动产权属资料原件及复印件和不动产合同、协议或者税务机关认可的其他资料原件及复印件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bookmarkStart w:id="33" w:name="_Toc16463"/>
      <w:bookmarkStart w:id="34" w:name="_Toc26801"/>
      <w:bookmarkStart w:id="35" w:name="_Toc26459"/>
      <w:bookmarkStart w:id="36" w:name="_Toc128733557"/>
      <w:bookmarkStart w:id="37" w:name="_Toc30854"/>
      <w:bookmarkStart w:id="38" w:name="_Toc7701"/>
      <w:bookmarkStart w:id="39" w:name="_Toc12812"/>
      <w:bookmarkStart w:id="40" w:name="_Toc6072"/>
      <w:r>
        <w:rPr>
          <w:rFonts w:hint="eastAsia" w:ascii="方正仿宋_GBK" w:hAnsi="方正仿宋_GBK" w:eastAsia="方正仿宋_GBK" w:cs="黑体"/>
          <w:b/>
          <w:bCs/>
          <w:sz w:val="24"/>
          <w:lang w:val="en-US" w:eastAsia="zh-CN"/>
        </w:rPr>
        <w:t>1</w:t>
      </w:r>
      <w:r>
        <w:rPr>
          <w:rFonts w:hint="eastAsia" w:ascii="方正仿宋_GBK" w:hAnsi="方正仿宋_GBK" w:eastAsia="方正仿宋_GBK" w:cs="黑体"/>
          <w:b/>
          <w:bCs/>
          <w:sz w:val="24"/>
        </w:rPr>
        <w:t>.2  办理路径</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bidi="ar"/>
        </w:rPr>
        <w:t>国家税务总局丹东市税务局第二税务分局契税窗口（</w:t>
      </w:r>
      <w:r>
        <w:rPr>
          <w:rFonts w:hint="eastAsia" w:ascii="方正仿宋_GBK" w:hAnsi="方正仿宋_GBK" w:eastAsia="方正仿宋_GBK" w:cs="宋体"/>
          <w:sz w:val="24"/>
          <w:lang w:val="en-US" w:eastAsia="zh-CN" w:bidi="ar"/>
        </w:rPr>
        <w:t>丹东市不动产登记和房屋交易大厅</w:t>
      </w:r>
      <w:r>
        <w:rPr>
          <w:rFonts w:hint="eastAsia" w:ascii="方正仿宋_GBK" w:hAnsi="方正仿宋_GBK" w:eastAsia="方正仿宋_GBK" w:cs="宋体"/>
          <w:sz w:val="24"/>
          <w:lang w:eastAsia="zh-CN" w:bidi="ar"/>
        </w:rPr>
        <w:t>）</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lang w:val="en-US" w:eastAsia="zh-CN"/>
        </w:rPr>
        <w:t>1</w:t>
      </w:r>
      <w:r>
        <w:rPr>
          <w:rFonts w:hint="eastAsia" w:ascii="方正仿宋_GBK" w:hAnsi="方正仿宋_GBK" w:eastAsia="方正仿宋_GBK" w:cs="黑体"/>
          <w:b/>
          <w:bCs/>
          <w:sz w:val="24"/>
        </w:rPr>
        <w:t>.3  办理时限：</w:t>
      </w:r>
      <w:r>
        <w:rPr>
          <w:rFonts w:ascii="方正仿宋_GBK" w:hAnsi="方正仿宋_GBK" w:eastAsia="方正仿宋_GBK" w:cs="宋体"/>
          <w:sz w:val="24"/>
        </w:rPr>
        <w:t>即时办结</w:t>
      </w:r>
    </w:p>
    <w:p>
      <w:pPr>
        <w:spacing w:line="360" w:lineRule="auto"/>
        <w:ind w:firstLine="480"/>
        <w:rPr>
          <w:rFonts w:hint="eastAsia" w:ascii="方正仿宋_GBK" w:hAnsi="方正仿宋_GBK" w:eastAsia="方正仿宋_GBK" w:cs="宋体"/>
          <w:sz w:val="24"/>
        </w:rPr>
      </w:pPr>
      <w:r>
        <w:rPr>
          <w:rFonts w:hint="eastAsia" w:ascii="方正仿宋_GBK" w:hAnsi="方正仿宋_GBK" w:eastAsia="方正仿宋_GBK" w:cs="黑体"/>
          <w:b/>
          <w:bCs/>
          <w:sz w:val="24"/>
          <w:lang w:val="en-US" w:eastAsia="zh-CN"/>
        </w:rPr>
        <w:t>1</w:t>
      </w:r>
      <w:r>
        <w:rPr>
          <w:rFonts w:hint="eastAsia" w:ascii="方正仿宋_GBK" w:hAnsi="方正仿宋_GBK" w:eastAsia="方正仿宋_GBK" w:cs="黑体"/>
          <w:b/>
          <w:bCs/>
          <w:sz w:val="24"/>
        </w:rPr>
        <w:t xml:space="preserve">.4 </w:t>
      </w:r>
      <w:r>
        <w:rPr>
          <w:rFonts w:hint="eastAsia" w:ascii="方正仿宋_GBK" w:hAnsi="方正仿宋_GBK" w:eastAsia="方正仿宋_GBK" w:cs="黑体"/>
          <w:b/>
          <w:bCs/>
          <w:sz w:val="24"/>
          <w:lang w:val="en-US" w:eastAsia="zh-CN"/>
        </w:rPr>
        <w:t xml:space="preserve"> </w:t>
      </w:r>
      <w:r>
        <w:rPr>
          <w:rFonts w:hint="eastAsia" w:ascii="方正仿宋_GBK" w:hAnsi="方正仿宋_GBK" w:eastAsia="方正仿宋_GBK" w:cs="黑体"/>
          <w:b/>
          <w:bCs/>
          <w:sz w:val="24"/>
        </w:rPr>
        <w:t>温馨提示：</w:t>
      </w:r>
      <w:r>
        <w:rPr>
          <w:rFonts w:hint="eastAsia" w:ascii="方正仿宋_GBK" w:hAnsi="方正仿宋_GBK" w:eastAsia="方正仿宋_GBK" w:cs="宋体"/>
          <w:sz w:val="24"/>
        </w:rPr>
        <w:t>为保障您便捷快速办税缴费，到办税服务厅办理</w:t>
      </w:r>
      <w:r>
        <w:rPr>
          <w:rFonts w:hint="eastAsia" w:ascii="方正仿宋_GBK" w:hAnsi="方正仿宋_GBK" w:eastAsia="方正仿宋_GBK" w:cs="宋体"/>
          <w:sz w:val="24"/>
          <w:lang w:eastAsia="zh-CN"/>
        </w:rPr>
        <w:t>前</w:t>
      </w:r>
      <w:r>
        <w:rPr>
          <w:rFonts w:hint="eastAsia" w:ascii="方正仿宋_GBK" w:hAnsi="方正仿宋_GBK" w:eastAsia="方正仿宋_GBK" w:cs="宋体"/>
          <w:sz w:val="24"/>
        </w:rPr>
        <w:t>您可先拨打咨询电话，避免业务高峰期等候，我们为您提供预约服务和延时服务，如有问题可拨打12366咨询投诉。</w:t>
      </w:r>
    </w:p>
    <w:p>
      <w:pPr>
        <w:pStyle w:val="3"/>
        <w:outlineLvl w:val="0"/>
        <w:rPr>
          <w:rFonts w:ascii="方正仿宋_GBK" w:hAnsi="方正仿宋_GBK" w:eastAsia="方正仿宋_GBK"/>
        </w:rPr>
      </w:pPr>
      <w:bookmarkStart w:id="41" w:name="_Toc32372"/>
      <w:r>
        <w:rPr>
          <w:rFonts w:hint="eastAsia" w:ascii="方正仿宋_GBK" w:hAnsi="方正仿宋_GBK" w:eastAsia="方正仿宋_GBK"/>
          <w:lang w:eastAsia="zh-CN"/>
        </w:rPr>
        <w:t>二</w:t>
      </w:r>
      <w:r>
        <w:rPr>
          <w:rFonts w:hint="eastAsia" w:ascii="方正仿宋_GBK" w:hAnsi="方正仿宋_GBK" w:eastAsia="方正仿宋_GBK"/>
        </w:rPr>
        <w:t xml:space="preserve">、 </w:t>
      </w:r>
      <w:r>
        <w:rPr>
          <w:rFonts w:ascii="方正仿宋_GBK" w:hAnsi="方正仿宋_GBK" w:eastAsia="方正仿宋_GBK"/>
        </w:rPr>
        <w:t xml:space="preserve"> </w:t>
      </w:r>
      <w:r>
        <w:rPr>
          <w:rFonts w:hint="eastAsia" w:ascii="方正仿宋_GBK" w:hAnsi="方正仿宋_GBK" w:eastAsia="方正仿宋_GBK"/>
        </w:rPr>
        <w:t>申报纳税</w:t>
      </w:r>
      <w:bookmarkEnd w:id="33"/>
      <w:bookmarkEnd w:id="34"/>
      <w:bookmarkEnd w:id="35"/>
      <w:bookmarkEnd w:id="36"/>
      <w:bookmarkEnd w:id="37"/>
      <w:bookmarkEnd w:id="38"/>
      <w:bookmarkEnd w:id="39"/>
      <w:bookmarkEnd w:id="40"/>
      <w:bookmarkEnd w:id="41"/>
      <w:bookmarkStart w:id="42" w:name="_Toc127988714"/>
      <w:bookmarkStart w:id="43" w:name="_Toc43160461"/>
      <w:bookmarkStart w:id="44" w:name="_Toc43160462"/>
    </w:p>
    <w:bookmarkEnd w:id="42"/>
    <w:bookmarkEnd w:id="43"/>
    <w:bookmarkEnd w:id="44"/>
    <w:p>
      <w:pPr>
        <w:pStyle w:val="4"/>
        <w:outlineLvl w:val="1"/>
        <w:rPr>
          <w:rFonts w:ascii="方正仿宋_GBK" w:hAnsi="方正仿宋_GBK" w:eastAsia="方正仿宋_GBK" w:cs="黑体"/>
          <w:sz w:val="24"/>
        </w:rPr>
      </w:pPr>
      <w:bookmarkStart w:id="45" w:name="_Toc13530"/>
      <w:bookmarkStart w:id="46" w:name="_Toc28401"/>
      <w:bookmarkStart w:id="47" w:name="_Toc21826"/>
      <w:bookmarkStart w:id="48" w:name="_Toc27639"/>
      <w:bookmarkStart w:id="49" w:name="_Toc43160468"/>
      <w:bookmarkStart w:id="50" w:name="_Toc15720"/>
      <w:bookmarkStart w:id="51" w:name="_Toc127988720"/>
      <w:bookmarkStart w:id="52" w:name="_Toc28856"/>
      <w:bookmarkStart w:id="53" w:name="_Toc17490"/>
      <w:bookmarkStart w:id="54" w:name="_Toc3026"/>
      <w:r>
        <w:rPr>
          <w:rFonts w:hint="eastAsia" w:ascii="方正仿宋_GBK" w:hAnsi="方正仿宋_GBK" w:eastAsia="方正仿宋_GBK"/>
          <w:lang w:val="en-US" w:eastAsia="zh-CN"/>
        </w:rPr>
        <w:t>2</w:t>
      </w:r>
      <w:r>
        <w:rPr>
          <w:rFonts w:hint="eastAsia" w:ascii="方正仿宋_GBK" w:hAnsi="方正仿宋_GBK" w:eastAsia="方正仿宋_GBK"/>
        </w:rPr>
        <w:t>.车辆购置税申报</w:t>
      </w:r>
      <w:bookmarkEnd w:id="45"/>
      <w:bookmarkEnd w:id="46"/>
      <w:bookmarkEnd w:id="47"/>
      <w:bookmarkEnd w:id="48"/>
      <w:bookmarkEnd w:id="49"/>
      <w:bookmarkEnd w:id="50"/>
      <w:bookmarkEnd w:id="51"/>
      <w:bookmarkEnd w:id="52"/>
      <w:bookmarkEnd w:id="53"/>
      <w:bookmarkEnd w:id="54"/>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1819910" cy="1819910"/>
            <wp:effectExtent l="0" t="0" r="8890" b="8890"/>
            <wp:docPr id="13" name="图片 13" descr="车辆购置税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车辆购置税申报.docx"/>
                    <pic:cNvPicPr>
                      <a:picLocks noChangeAspect="1"/>
                    </pic:cNvPicPr>
                  </pic:nvPicPr>
                  <pic:blipFill>
                    <a:blip r:embed="rId17"/>
                    <a:stretch>
                      <a:fillRect/>
                    </a:stretch>
                  </pic:blipFill>
                  <pic:spPr>
                    <a:xfrm>
                      <a:off x="0" y="0"/>
                      <a:ext cx="1819910" cy="1819910"/>
                    </a:xfrm>
                    <a:prstGeom prst="rect">
                      <a:avLst/>
                    </a:prstGeom>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w:t>
      </w:r>
      <w:r>
        <w:rPr>
          <w:rFonts w:ascii="方正仿宋_GBK" w:hAnsi="方正仿宋_GBK" w:eastAsia="方正仿宋_GBK" w:cs="宋体"/>
          <w:sz w:val="24"/>
        </w:rPr>
        <w:t>在中华人民共和国境内购置汽车、有轨电车、汽车挂车、排气量超过一百五十毫升的摩托车，自纳税义务发生之日起六十日内办理车辆购置税申报。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2.1  需提供要件</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宋体"/>
          <w:sz w:val="24"/>
        </w:rPr>
        <w:t>《车辆购置税纳税申报表》</w:t>
      </w:r>
      <w:r>
        <w:rPr>
          <w:rFonts w:hint="eastAsia" w:ascii="方正仿宋_GBK" w:hAnsi="方正仿宋_GBK" w:eastAsia="方正仿宋_GBK" w:cs="Calibri"/>
          <w:sz w:val="24"/>
        </w:rPr>
        <w:t>（资料来源：办税服务厅</w:t>
      </w:r>
      <w:r>
        <w:rPr>
          <w:rFonts w:hint="eastAsia" w:ascii="方正仿宋_GBK" w:hAnsi="方正仿宋_GBK" w:eastAsia="方正仿宋_GBK" w:cs="Calibri"/>
          <w:sz w:val="24"/>
          <w:lang w:eastAsia="zh-CN"/>
        </w:rPr>
        <w:t>车辆购置税窗口</w:t>
      </w:r>
      <w:r>
        <w:rPr>
          <w:rFonts w:hint="eastAsia" w:ascii="方正仿宋_GBK" w:hAnsi="方正仿宋_GBK" w:eastAsia="方正仿宋_GBK" w:cs="Calibri"/>
          <w:sz w:val="24"/>
        </w:rPr>
        <w:t>或国家税务总局辽宁省税务局官网http://liaoning.chinatax.gov.cn中—纳税服务—下载中心—表单下载）</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sz w:val="24"/>
          <w:lang w:eastAsia="zh-CN"/>
        </w:rPr>
        <w:t>国产车辆</w:t>
      </w:r>
      <w:r>
        <w:rPr>
          <w:rFonts w:hint="eastAsia" w:ascii="方正仿宋_GBK" w:hAnsi="方正仿宋_GBK" w:eastAsia="方正仿宋_GBK" w:cs="宋体"/>
          <w:sz w:val="24"/>
        </w:rPr>
        <w:t>整车出厂合格证或者</w:t>
      </w:r>
      <w:r>
        <w:rPr>
          <w:rFonts w:hint="eastAsia" w:ascii="方正仿宋_GBK" w:hAnsi="方正仿宋_GBK" w:eastAsia="方正仿宋_GBK" w:cs="宋体"/>
          <w:sz w:val="24"/>
          <w:lang w:eastAsia="zh-CN"/>
        </w:rPr>
        <w:t>进口车辆的</w:t>
      </w:r>
      <w:r>
        <w:rPr>
          <w:rFonts w:hint="eastAsia" w:ascii="方正仿宋_GBK" w:hAnsi="方正仿宋_GBK" w:eastAsia="方正仿宋_GBK" w:cs="宋体"/>
          <w:sz w:val="24"/>
        </w:rPr>
        <w:t>《车辆电子信息单》</w:t>
      </w:r>
      <w:r>
        <w:rPr>
          <w:rFonts w:hint="eastAsia" w:ascii="方正仿宋_GBK" w:hAnsi="方正仿宋_GBK" w:eastAsia="方正仿宋_GBK" w:cs="Calibri"/>
          <w:sz w:val="24"/>
        </w:rPr>
        <w:t>（资料来源：纳税人、车辆销售方）</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③</w:t>
      </w:r>
      <w:r>
        <w:rPr>
          <w:rFonts w:hint="eastAsia" w:ascii="方正仿宋_GBK" w:hAnsi="方正仿宋_GBK" w:eastAsia="方正仿宋_GBK" w:cs="宋体"/>
          <w:sz w:val="24"/>
        </w:rPr>
        <w:t>车辆相关价格凭证复印件</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④</w:t>
      </w:r>
      <w:r>
        <w:rPr>
          <w:rFonts w:hint="eastAsia" w:ascii="方正仿宋_GBK" w:hAnsi="方正仿宋_GBK" w:eastAsia="方正仿宋_GBK" w:cs="宋体"/>
          <w:sz w:val="24"/>
        </w:rPr>
        <w:t>免税、减税车辆因转让、改变用途等原因不再属于免税、减税范围，还需提供二手车销售统一发票原件及复印件等相关材料</w:t>
      </w:r>
      <w:r>
        <w:rPr>
          <w:rFonts w:hint="eastAsia" w:ascii="方正仿宋_GBK" w:hAnsi="方正仿宋_GBK" w:eastAsia="方正仿宋_GBK" w:cs="Calibri"/>
          <w:sz w:val="24"/>
        </w:rPr>
        <w:t>（资料来源：纳税人）</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rPr>
        <w:t>2.2  办理路径</w:t>
      </w:r>
    </w:p>
    <w:p>
      <w:pPr>
        <w:spacing w:line="360" w:lineRule="auto"/>
        <w:ind w:firstLine="480"/>
        <w:rPr>
          <w:rFonts w:hint="eastAsia" w:ascii="方正仿宋_GBK" w:hAnsi="方正仿宋_GBK" w:eastAsia="方正仿宋_GBK" w:cs="宋体"/>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r>
        <w:rPr>
          <w:rFonts w:hint="eastAsia" w:ascii="方正仿宋_GBK" w:hAnsi="方正仿宋_GBK" w:eastAsia="方正仿宋_GBK" w:cs="宋体"/>
          <w:sz w:val="24"/>
          <w:lang w:eastAsia="zh-CN"/>
        </w:rPr>
        <w:t>国家税务总局丹东市税务局第二税务分局车购税窗口（</w:t>
      </w:r>
      <w:r>
        <w:rPr>
          <w:rFonts w:hint="eastAsia" w:ascii="方正仿宋_GBK" w:hAnsi="方正仿宋_GBK" w:eastAsia="方正仿宋_GBK" w:cs="宋体"/>
          <w:sz w:val="24"/>
          <w:lang w:val="en-US" w:eastAsia="zh-CN"/>
        </w:rPr>
        <w:t>丹东市税务局元宝区税务局办税服务大厅</w:t>
      </w:r>
      <w:r>
        <w:rPr>
          <w:rFonts w:hint="eastAsia" w:ascii="方正仿宋_GBK" w:hAnsi="方正仿宋_GBK" w:eastAsia="方正仿宋_GBK" w:cs="宋体"/>
          <w:sz w:val="24"/>
          <w:lang w:eastAsia="zh-CN"/>
        </w:rPr>
        <w:t>）</w:t>
      </w:r>
    </w:p>
    <w:p>
      <w:pPr>
        <w:spacing w:line="360" w:lineRule="auto"/>
        <w:ind w:firstLine="480"/>
        <w:rPr>
          <w:rFonts w:ascii="方正仿宋_GBK" w:hAnsi="方正仿宋_GBK" w:eastAsia="方正仿宋_GBK" w:cs="宋体"/>
          <w:sz w:val="24"/>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jc w:val="center"/>
        <w:rPr>
          <w:rFonts w:hint="eastAsia" w:ascii="方正仿宋_GBK" w:hAnsi="方正仿宋_GBK" w:eastAsia="方正仿宋_GBK" w:cs="黑体"/>
          <w:b/>
          <w:bCs/>
          <w:color w:val="0000FF"/>
          <w:sz w:val="24"/>
          <w:lang w:val="en-US" w:eastAsia="zh-CN"/>
        </w:rPr>
      </w:pPr>
      <w:r>
        <w:rPr>
          <w:rFonts w:hint="eastAsia" w:ascii="方正仿宋_GBK" w:hAnsi="方正仿宋_GBK" w:eastAsia="方正仿宋_GBK"/>
          <w:color w:val="0000FF"/>
          <w:lang w:val="en-US" w:eastAsia="zh-CN"/>
        </w:rPr>
        <w:t xml:space="preserve">                                         </w:t>
      </w:r>
      <w:r>
        <w:rPr>
          <w:rFonts w:ascii="方正仿宋_GBK" w:hAnsi="方正仿宋_GBK" w:eastAsia="方正仿宋_GBK"/>
          <w:color w:val="0000FF"/>
        </w:rPr>
        <w:drawing>
          <wp:inline distT="0" distB="0" distL="0" distR="0">
            <wp:extent cx="2049780" cy="1691005"/>
            <wp:effectExtent l="0" t="0" r="7620" b="1079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noChangeArrowheads="1"/>
                    </pic:cNvPicPr>
                  </pic:nvPicPr>
                  <pic:blipFill>
                    <a:blip r:embed="rId18" cstate="print">
                      <a:extLst>
                        <a:ext uri="{28A0092B-C50C-407E-A947-70E740481C1C}">
                          <a14:useLocalDpi xmlns:a14="http://schemas.microsoft.com/office/drawing/2010/main" val="0"/>
                        </a:ext>
                      </a:extLst>
                    </a:blip>
                    <a:srcRect t="8271" r="1137" b="10192"/>
                    <a:stretch>
                      <a:fillRect/>
                    </a:stretch>
                  </pic:blipFill>
                  <pic:spPr>
                    <a:xfrm>
                      <a:off x="0" y="0"/>
                      <a:ext cx="2049780" cy="1691005"/>
                    </a:xfrm>
                    <a:prstGeom prst="rect">
                      <a:avLst/>
                    </a:prstGeom>
                    <a:noFill/>
                    <a:ln>
                      <a:noFill/>
                    </a:ln>
                  </pic:spPr>
                </pic:pic>
              </a:graphicData>
            </a:graphic>
          </wp:inline>
        </w:drawing>
      </w:r>
      <w:r>
        <w:rPr>
          <w:rFonts w:hint="eastAsia" w:ascii="方正仿宋_GBK" w:hAnsi="方正仿宋_GBK" w:eastAsia="方正仿宋_GBK"/>
          <w:color w:val="0000FF"/>
          <w:lang w:val="en-US" w:eastAsia="zh-CN"/>
        </w:rPr>
        <w:t xml:space="preserve">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rPr>
        <w:t>2.3  办理时限：</w:t>
      </w:r>
      <w:r>
        <w:rPr>
          <w:rFonts w:ascii="方正仿宋_GBK" w:hAnsi="方正仿宋_GBK" w:eastAsia="方正仿宋_GBK" w:cs="宋体"/>
          <w:sz w:val="24"/>
        </w:rPr>
        <w:t>即时办结</w:t>
      </w:r>
    </w:p>
    <w:p>
      <w:pPr>
        <w:spacing w:line="360" w:lineRule="auto"/>
        <w:ind w:firstLine="480"/>
        <w:rPr>
          <w:rFonts w:hint="eastAsia" w:ascii="方正仿宋_GBK" w:hAnsi="方正仿宋_GBK" w:eastAsia="方正仿宋_GBK" w:cs="宋体"/>
          <w:sz w:val="24"/>
        </w:rPr>
      </w:pPr>
      <w:r>
        <w:rPr>
          <w:rFonts w:hint="eastAsia" w:ascii="方正仿宋_GBK" w:hAnsi="方正仿宋_GBK" w:eastAsia="方正仿宋_GBK" w:cs="黑体"/>
          <w:b/>
          <w:bCs/>
          <w:sz w:val="24"/>
        </w:rPr>
        <w:t>2.4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spacing w:line="360" w:lineRule="auto"/>
        <w:ind w:firstLine="480"/>
        <w:rPr>
          <w:rFonts w:hint="eastAsia" w:ascii="方正仿宋_GBK" w:hAnsi="方正仿宋_GBK" w:eastAsia="方正仿宋_GBK" w:cs="宋体"/>
          <w:sz w:val="24"/>
        </w:rPr>
      </w:pPr>
    </w:p>
    <w:p>
      <w:pPr>
        <w:pStyle w:val="4"/>
        <w:outlineLvl w:val="1"/>
        <w:rPr>
          <w:rFonts w:hint="eastAsia" w:ascii="方正仿宋_GBK" w:hAnsi="方正仿宋_GBK" w:eastAsia="方正仿宋_GBK"/>
        </w:rPr>
      </w:pPr>
      <w:bookmarkStart w:id="55" w:name="_Toc20104"/>
      <w:r>
        <w:rPr>
          <w:rFonts w:hint="eastAsia" w:ascii="方正仿宋_GBK" w:hAnsi="方正仿宋_GBK" w:eastAsia="方正仿宋_GBK"/>
          <w:lang w:val="en-US" w:eastAsia="zh-CN"/>
        </w:rPr>
        <w:t>3</w:t>
      </w:r>
      <w:r>
        <w:rPr>
          <w:rFonts w:hint="eastAsia" w:ascii="方正仿宋_GBK" w:hAnsi="方正仿宋_GBK" w:eastAsia="方正仿宋_GBK"/>
        </w:rPr>
        <w:t>.房地产交易税费申报</w:t>
      </w:r>
      <w:bookmarkEnd w:id="55"/>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1977390" cy="1881505"/>
            <wp:effectExtent l="0" t="0" r="3810" b="10795"/>
            <wp:docPr id="12" name="图片 12" descr="房地产交易税费申报.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房地产交易税费申报.docx"/>
                    <pic:cNvPicPr>
                      <a:picLocks noChangeAspect="1"/>
                    </pic:cNvPicPr>
                  </pic:nvPicPr>
                  <pic:blipFill>
                    <a:blip r:embed="rId19"/>
                    <a:stretch>
                      <a:fillRect/>
                    </a:stretch>
                  </pic:blipFill>
                  <pic:spPr>
                    <a:xfrm>
                      <a:off x="0" y="0"/>
                      <a:ext cx="1977390" cy="1881505"/>
                    </a:xfrm>
                    <a:prstGeom prst="rect">
                      <a:avLst/>
                    </a:prstGeom>
                  </pic:spPr>
                </pic:pic>
              </a:graphicData>
            </a:graphic>
          </wp:inline>
        </w:drawing>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rPr>
        <w:t>纳税人交易房地产，应依照税收法律法规及相关规定确定的申报期限、申报内容，填报《存量房交易税费申报表》，向税务机关进行流转税、所得税、财产和行为税及相关规费等多项税（费）种的纳税申报。</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lang w:val="en-US" w:eastAsia="zh-CN"/>
        </w:rPr>
        <w:t>3</w:t>
      </w:r>
      <w:r>
        <w:rPr>
          <w:rFonts w:hint="eastAsia" w:ascii="方正仿宋_GBK" w:hAnsi="方正仿宋_GBK" w:eastAsia="方正仿宋_GBK" w:cs="黑体"/>
          <w:b/>
          <w:bCs/>
          <w:sz w:val="24"/>
        </w:rPr>
        <w:t>.1  需提供要件</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Calibri"/>
          <w:sz w:val="24"/>
        </w:rPr>
        <w:t>存量房（二手</w:t>
      </w:r>
      <w:r>
        <w:rPr>
          <w:rFonts w:ascii="方正仿宋_GBK" w:hAnsi="方正仿宋_GBK" w:eastAsia="方正仿宋_GBK" w:cs="Calibri"/>
          <w:sz w:val="24"/>
        </w:rPr>
        <w:t>房</w:t>
      </w:r>
      <w:r>
        <w:rPr>
          <w:rFonts w:hint="eastAsia" w:ascii="方正仿宋_GBK" w:hAnsi="方正仿宋_GBK" w:eastAsia="方正仿宋_GBK" w:cs="Calibri"/>
          <w:sz w:val="24"/>
        </w:rPr>
        <w:t>）</w:t>
      </w:r>
      <w:r>
        <w:rPr>
          <w:rFonts w:ascii="方正仿宋_GBK" w:hAnsi="方正仿宋_GBK" w:eastAsia="方正仿宋_GBK" w:cs="Calibri"/>
          <w:sz w:val="24"/>
        </w:rPr>
        <w:t>交易纳税人</w:t>
      </w:r>
      <w:r>
        <w:rPr>
          <w:rFonts w:hint="eastAsia" w:ascii="方正仿宋_GBK" w:hAnsi="方正仿宋_GBK" w:eastAsia="方正仿宋_GBK" w:cs="Calibri"/>
          <w:sz w:val="24"/>
        </w:rPr>
        <w:t>，提供</w:t>
      </w:r>
      <w:r>
        <w:rPr>
          <w:rFonts w:ascii="方正仿宋_GBK" w:hAnsi="方正仿宋_GBK" w:eastAsia="方正仿宋_GBK" w:cs="Calibri"/>
          <w:sz w:val="24"/>
        </w:rPr>
        <w:t>《存量房交易税费申报表》</w:t>
      </w:r>
      <w:r>
        <w:rPr>
          <w:rFonts w:hint="eastAsia" w:ascii="方正仿宋_GBK" w:hAnsi="方正仿宋_GBK" w:eastAsia="方正仿宋_GBK" w:cs="Calibri"/>
          <w:sz w:val="24"/>
        </w:rPr>
        <w:t>（资料来源：办税服务厅或国家税务总局辽宁省税务局官网http://liaoning.chinatax.gov.cn中—纳税服务—下载中心—表单下载）</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lang w:val="en-US" w:eastAsia="zh-CN"/>
        </w:rPr>
        <w:t>3</w:t>
      </w:r>
      <w:r>
        <w:rPr>
          <w:rFonts w:hint="eastAsia" w:ascii="方正仿宋_GBK" w:hAnsi="方正仿宋_GBK" w:eastAsia="方正仿宋_GBK" w:cs="黑体"/>
          <w:b/>
          <w:bCs/>
          <w:sz w:val="24"/>
        </w:rPr>
        <w:t>.2  办理路径</w:t>
      </w:r>
    </w:p>
    <w:p>
      <w:pPr>
        <w:spacing w:line="360" w:lineRule="auto"/>
        <w:ind w:firstLine="480"/>
        <w:rPr>
          <w:rFonts w:hint="eastAsia" w:ascii="方正仿宋_GBK" w:hAnsi="方正仿宋_GBK" w:eastAsia="方正仿宋_GBK" w:cs="宋体"/>
          <w:sz w:val="24"/>
          <w:lang w:eastAsia="zh-CN" w:bidi="ar"/>
        </w:rPr>
      </w:pPr>
      <w:r>
        <w:rPr>
          <w:rFonts w:hint="eastAsia" w:ascii="方正仿宋_GBK" w:hAnsi="方正仿宋_GBK" w:eastAsia="方正仿宋_GBK" w:cs="Calibri"/>
          <w:b/>
          <w:bCs/>
          <w:sz w:val="24"/>
        </w:rPr>
        <w:t>窗口办：</w:t>
      </w:r>
      <w:r>
        <w:rPr>
          <w:rFonts w:hint="eastAsia" w:ascii="方正仿宋_GBK" w:hAnsi="方正仿宋_GBK" w:eastAsia="方正仿宋_GBK" w:cs="Calibri"/>
          <w:sz w:val="24"/>
          <w:lang w:eastAsia="zh-CN"/>
        </w:rPr>
        <w:t>国家税务总局丹东市税务局第二税务分局契税窗口（</w:t>
      </w:r>
      <w:r>
        <w:rPr>
          <w:rFonts w:hint="eastAsia" w:ascii="方正仿宋_GBK" w:hAnsi="方正仿宋_GBK" w:eastAsia="方正仿宋_GBK" w:cs="Calibri"/>
          <w:sz w:val="24"/>
          <w:lang w:val="en-US" w:eastAsia="zh-CN"/>
        </w:rPr>
        <w:t>丹东市不动产登记和房屋交易大厅</w:t>
      </w:r>
      <w:r>
        <w:rPr>
          <w:rFonts w:hint="eastAsia" w:ascii="方正仿宋_GBK" w:hAnsi="方正仿宋_GBK" w:eastAsia="方正仿宋_GBK" w:cs="Calibri"/>
          <w:sz w:val="24"/>
          <w:lang w:eastAsia="zh-CN"/>
        </w:rPr>
        <w:t>）</w:t>
      </w:r>
    </w:p>
    <w:p>
      <w:pPr>
        <w:spacing w:line="360" w:lineRule="auto"/>
        <w:ind w:firstLine="480"/>
        <w:rPr>
          <w:rFonts w:ascii="方正仿宋_GBK" w:hAnsi="方正仿宋_GBK" w:eastAsia="方正仿宋_GBK" w:cs="宋体"/>
          <w:sz w:val="24"/>
        </w:rPr>
      </w:pPr>
      <w:bookmarkStart w:id="56" w:name="_Toc127988857"/>
      <w:bookmarkStart w:id="57" w:name="_Toc2826"/>
      <w:bookmarkStart w:id="58" w:name="_Toc31189"/>
      <w:bookmarkStart w:id="59" w:name="_Toc1767"/>
      <w:bookmarkStart w:id="60" w:name="_Toc25985"/>
      <w:bookmarkStart w:id="61" w:name="_Toc128733558"/>
      <w:bookmarkStart w:id="62" w:name="_Toc127988855"/>
      <w:bookmarkStart w:id="63" w:name="_Toc5194"/>
      <w:bookmarkStart w:id="64" w:name="_Toc10909"/>
      <w:bookmarkStart w:id="65" w:name="_Toc4313"/>
      <w:r>
        <w:rPr>
          <w:rFonts w:hint="eastAsia" w:ascii="方正仿宋_GBK" w:hAnsi="方正仿宋_GBK" w:eastAsia="方正仿宋_GBK" w:cs="黑体"/>
          <w:b/>
          <w:bCs/>
          <w:sz w:val="24"/>
          <w:lang w:val="en-US" w:eastAsia="zh-CN"/>
        </w:rPr>
        <w:t>3</w:t>
      </w:r>
      <w:r>
        <w:rPr>
          <w:rFonts w:hint="eastAsia" w:ascii="方正仿宋_GBK" w:hAnsi="方正仿宋_GBK" w:eastAsia="方正仿宋_GBK" w:cs="黑体"/>
          <w:b/>
          <w:bCs/>
          <w:sz w:val="24"/>
        </w:rPr>
        <w:t>.3  办理时限：</w:t>
      </w:r>
      <w:r>
        <w:rPr>
          <w:rFonts w:ascii="方正仿宋_GBK" w:hAnsi="方正仿宋_GBK" w:eastAsia="方正仿宋_GBK" w:cs="宋体"/>
          <w:sz w:val="24"/>
        </w:rPr>
        <w:t>即时办结</w:t>
      </w:r>
    </w:p>
    <w:p>
      <w:pPr>
        <w:spacing w:line="360" w:lineRule="auto"/>
        <w:ind w:firstLine="480"/>
        <w:rPr>
          <w:rFonts w:hint="eastAsia" w:ascii="方正仿宋_GBK" w:hAnsi="方正仿宋_GBK" w:eastAsia="方正仿宋_GBK" w:cs="宋体"/>
          <w:sz w:val="24"/>
        </w:rPr>
      </w:pPr>
      <w:r>
        <w:rPr>
          <w:rFonts w:hint="eastAsia" w:ascii="方正仿宋_GBK" w:hAnsi="方正仿宋_GBK" w:eastAsia="方正仿宋_GBK" w:cs="黑体"/>
          <w:b/>
          <w:bCs/>
          <w:sz w:val="24"/>
          <w:lang w:val="en-US" w:eastAsia="zh-CN"/>
        </w:rPr>
        <w:t>3</w:t>
      </w:r>
      <w:r>
        <w:rPr>
          <w:rFonts w:hint="eastAsia" w:ascii="方正仿宋_GBK" w:hAnsi="方正仿宋_GBK" w:eastAsia="方正仿宋_GBK" w:cs="黑体"/>
          <w:b/>
          <w:bCs/>
          <w:sz w:val="24"/>
        </w:rPr>
        <w:t>.4  温馨提示：</w:t>
      </w:r>
      <w:r>
        <w:rPr>
          <w:rFonts w:hint="eastAsia" w:ascii="方正仿宋_GBK" w:hAnsi="方正仿宋_GBK" w:eastAsia="方正仿宋_GBK" w:cs="宋体"/>
          <w:sz w:val="24"/>
        </w:rPr>
        <w:t>为保障您便捷快速办税缴费，可先拨打咨询电话，避免业务高峰期等候，我们为您提供预约服务和延时服务，如有问题可拨打12366咨询投诉。</w:t>
      </w:r>
      <w:bookmarkEnd w:id="56"/>
      <w:bookmarkEnd w:id="57"/>
      <w:bookmarkEnd w:id="58"/>
      <w:bookmarkEnd w:id="59"/>
      <w:bookmarkEnd w:id="60"/>
      <w:bookmarkEnd w:id="61"/>
      <w:bookmarkEnd w:id="62"/>
      <w:bookmarkEnd w:id="63"/>
      <w:bookmarkEnd w:id="64"/>
      <w:bookmarkEnd w:id="65"/>
    </w:p>
    <w:p>
      <w:pPr>
        <w:pStyle w:val="3"/>
        <w:outlineLvl w:val="0"/>
        <w:rPr>
          <w:rFonts w:ascii="方正仿宋_GBK" w:hAnsi="方正仿宋_GBK" w:eastAsia="方正仿宋_GBK"/>
        </w:rPr>
      </w:pPr>
      <w:bookmarkStart w:id="66" w:name="_Toc2121"/>
      <w:r>
        <w:rPr>
          <w:rFonts w:hint="eastAsia" w:ascii="方正仿宋_GBK" w:hAnsi="方正仿宋_GBK" w:eastAsia="方正仿宋_GBK"/>
          <w:lang w:val="en-US" w:eastAsia="zh-CN"/>
        </w:rPr>
        <w:t>三</w:t>
      </w:r>
      <w:r>
        <w:rPr>
          <w:rFonts w:hint="eastAsia" w:ascii="方正仿宋_GBK" w:hAnsi="方正仿宋_GBK" w:eastAsia="方正仿宋_GBK"/>
        </w:rPr>
        <w:t xml:space="preserve">、 </w:t>
      </w:r>
      <w:r>
        <w:rPr>
          <w:rFonts w:ascii="方正仿宋_GBK" w:hAnsi="方正仿宋_GBK" w:eastAsia="方正仿宋_GBK"/>
        </w:rPr>
        <w:t xml:space="preserve"> 优惠办理</w:t>
      </w:r>
      <w:bookmarkEnd w:id="66"/>
    </w:p>
    <w:p>
      <w:pPr>
        <w:pStyle w:val="4"/>
        <w:outlineLvl w:val="1"/>
        <w:rPr>
          <w:rFonts w:ascii="方正仿宋_GBK" w:hAnsi="方正仿宋_GBK" w:eastAsia="方正仿宋_GBK"/>
        </w:rPr>
      </w:pPr>
      <w:bookmarkStart w:id="67" w:name="_Toc11467"/>
      <w:bookmarkStart w:id="68" w:name="_Toc4932"/>
      <w:bookmarkStart w:id="69" w:name="_Toc25063"/>
      <w:bookmarkStart w:id="70" w:name="_Toc10531"/>
      <w:bookmarkStart w:id="71" w:name="_Toc19835"/>
      <w:bookmarkStart w:id="72" w:name="_Toc3806"/>
      <w:bookmarkStart w:id="73" w:name="_Toc28398"/>
      <w:bookmarkStart w:id="74" w:name="_Toc16933"/>
      <w:r>
        <w:rPr>
          <w:rFonts w:hint="eastAsia" w:ascii="方正仿宋_GBK" w:hAnsi="方正仿宋_GBK" w:eastAsia="方正仿宋_GBK"/>
          <w:lang w:val="en-US" w:eastAsia="zh-CN"/>
        </w:rPr>
        <w:t>4</w:t>
      </w:r>
      <w:r>
        <w:rPr>
          <w:rFonts w:hint="eastAsia" w:ascii="方正仿宋_GBK" w:hAnsi="方正仿宋_GBK" w:eastAsia="方正仿宋_GBK"/>
        </w:rPr>
        <w:t>.</w:t>
      </w:r>
      <w:r>
        <w:rPr>
          <w:rFonts w:ascii="方正仿宋_GBK" w:hAnsi="方正仿宋_GBK" w:eastAsia="方正仿宋_GBK"/>
        </w:rPr>
        <w:t>申报享受税收减免</w:t>
      </w:r>
      <w:bookmarkEnd w:id="67"/>
      <w:bookmarkEnd w:id="68"/>
      <w:bookmarkEnd w:id="69"/>
      <w:bookmarkEnd w:id="70"/>
      <w:bookmarkEnd w:id="71"/>
      <w:bookmarkEnd w:id="72"/>
      <w:bookmarkEnd w:id="73"/>
      <w:bookmarkEnd w:id="74"/>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2033905" cy="2033905"/>
            <wp:effectExtent l="0" t="0" r="10795" b="10795"/>
            <wp:docPr id="14" name="图片 14" descr="申报享受税收减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申报享受税收减免"/>
                    <pic:cNvPicPr>
                      <a:picLocks noChangeAspect="1"/>
                    </pic:cNvPicPr>
                  </pic:nvPicPr>
                  <pic:blipFill>
                    <a:blip r:embed="rId20"/>
                    <a:stretch>
                      <a:fillRect/>
                    </a:stretch>
                  </pic:blipFill>
                  <pic:spPr>
                    <a:xfrm>
                      <a:off x="0" y="0"/>
                      <a:ext cx="2033905" cy="2033905"/>
                    </a:xfrm>
                    <a:prstGeom prst="rect">
                      <a:avLst/>
                    </a:prstGeom>
                  </pic:spPr>
                </pic:pic>
              </a:graphicData>
            </a:graphic>
          </wp:inline>
        </w:drawing>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纳税人符合申报享受税收减免条件的，在首次申报享受时随申报表报送附列资料，或直接在申报表中填列减免税信息无需报送资料。</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lang w:val="en-US" w:eastAsia="zh-CN"/>
        </w:rPr>
        <w:t>4</w:t>
      </w:r>
      <w:r>
        <w:rPr>
          <w:rFonts w:hint="eastAsia" w:ascii="方正仿宋_GBK" w:hAnsi="方正仿宋_GBK" w:eastAsia="方正仿宋_GBK" w:cs="黑体"/>
          <w:b/>
          <w:bCs/>
          <w:sz w:val="24"/>
        </w:rPr>
        <w:t>.1  需提供要件</w:t>
      </w:r>
    </w:p>
    <w:p>
      <w:pPr>
        <w:spacing w:line="360" w:lineRule="auto"/>
        <w:ind w:firstLine="480"/>
        <w:rPr>
          <w:rFonts w:hint="eastAsia" w:ascii="方正仿宋_GBK" w:hAnsi="方正仿宋_GBK" w:eastAsia="方正仿宋_GBK" w:cs="宋体"/>
          <w:sz w:val="24"/>
          <w:lang w:val="en-US" w:eastAsia="zh-CN"/>
        </w:rPr>
      </w:pPr>
      <w:r>
        <w:rPr>
          <w:rFonts w:ascii="方正仿宋_GBK" w:hAnsi="方正仿宋_GBK" w:eastAsia="方正仿宋_GBK" w:cs="Calibri"/>
          <w:sz w:val="24"/>
        </w:rPr>
        <w:t>①</w:t>
      </w:r>
      <w:r>
        <w:rPr>
          <w:rFonts w:hint="eastAsia" w:ascii="方正仿宋_GBK" w:hAnsi="方正仿宋_GBK" w:eastAsia="方正仿宋_GBK" w:cs="宋体"/>
          <w:sz w:val="24"/>
        </w:rPr>
        <w:t>申报时</w:t>
      </w:r>
      <w:r>
        <w:rPr>
          <w:rFonts w:ascii="方正仿宋_GBK" w:hAnsi="方正仿宋_GBK" w:eastAsia="方正仿宋_GBK" w:cs="宋体"/>
          <w:sz w:val="24"/>
        </w:rPr>
        <w:t>无需报送资料</w:t>
      </w:r>
      <w:r>
        <w:rPr>
          <w:rFonts w:hint="eastAsia" w:ascii="方正仿宋_GBK" w:hAnsi="方正仿宋_GBK" w:eastAsia="方正仿宋_GBK" w:cs="宋体"/>
          <w:sz w:val="24"/>
        </w:rPr>
        <w:t>（“免申即享”466项）</w:t>
      </w:r>
      <w:r>
        <w:rPr>
          <w:rFonts w:hint="eastAsia" w:ascii="方正仿宋_GBK" w:hAnsi="方正仿宋_GBK" w:eastAsia="方正仿宋_GBK" w:cs="宋体"/>
          <w:sz w:val="24"/>
          <w:lang w:val="en-US" w:eastAsia="zh-CN"/>
        </w:rPr>
        <w:t xml:space="preserve">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lang w:val="en-US" w:eastAsia="zh-CN"/>
        </w:rPr>
        <w:t xml:space="preserve">                                             </w:t>
      </w:r>
      <w:r>
        <w:drawing>
          <wp:inline distT="0" distB="0" distL="0" distR="0">
            <wp:extent cx="1931670" cy="1931670"/>
            <wp:effectExtent l="0" t="0" r="11430"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931670" cy="1931670"/>
                    </a:xfrm>
                    <a:prstGeom prst="rect">
                      <a:avLst/>
                    </a:prstGeom>
                    <a:noFill/>
                    <a:ln>
                      <a:noFill/>
                    </a:ln>
                  </pic:spPr>
                </pic:pic>
              </a:graphicData>
            </a:graphic>
          </wp:inline>
        </w:drawing>
      </w:r>
    </w:p>
    <w:p>
      <w:pPr>
        <w:spacing w:line="360" w:lineRule="auto"/>
        <w:ind w:firstLine="480"/>
        <w:rPr>
          <w:rFonts w:hint="eastAsia" w:ascii="方正仿宋_GBK" w:hAnsi="方正仿宋_GBK" w:eastAsia="方正仿宋_GBK" w:cs="宋体"/>
          <w:sz w:val="24"/>
          <w:lang w:val="en-US" w:eastAsia="zh-CN"/>
        </w:rPr>
      </w:pPr>
      <w:r>
        <w:rPr>
          <w:rFonts w:ascii="方正仿宋_GBK" w:hAnsi="方正仿宋_GBK" w:eastAsia="方正仿宋_GBK" w:cs="Calibri"/>
          <w:sz w:val="24"/>
        </w:rPr>
        <w:t>②</w:t>
      </w:r>
      <w:r>
        <w:rPr>
          <w:rFonts w:hint="eastAsia" w:ascii="方正仿宋_GBK" w:hAnsi="方正仿宋_GBK" w:eastAsia="方正仿宋_GBK" w:cs="宋体"/>
          <w:sz w:val="24"/>
        </w:rPr>
        <w:t>申报时</w:t>
      </w:r>
      <w:r>
        <w:rPr>
          <w:rFonts w:ascii="方正仿宋_GBK" w:hAnsi="方正仿宋_GBK" w:eastAsia="方正仿宋_GBK" w:cs="宋体"/>
          <w:sz w:val="24"/>
        </w:rPr>
        <w:t>需报送资料</w:t>
      </w:r>
      <w:r>
        <w:rPr>
          <w:rFonts w:hint="eastAsia" w:ascii="方正仿宋_GBK" w:hAnsi="方正仿宋_GBK" w:eastAsia="方正仿宋_GBK" w:cs="宋体"/>
          <w:sz w:val="24"/>
        </w:rPr>
        <w:t>（需附报资料56项）</w:t>
      </w:r>
      <w:r>
        <w:rPr>
          <w:rFonts w:hint="eastAsia" w:ascii="方正仿宋_GBK" w:hAnsi="方正仿宋_GBK" w:eastAsia="方正仿宋_GBK" w:cs="宋体"/>
          <w:sz w:val="24"/>
          <w:lang w:val="en-US" w:eastAsia="zh-CN"/>
        </w:rPr>
        <w:t xml:space="preserve">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宋体"/>
          <w:sz w:val="24"/>
          <w:lang w:val="en-US" w:eastAsia="zh-CN"/>
        </w:rPr>
        <w:t xml:space="preserve">                                               </w:t>
      </w:r>
      <w:r>
        <w:drawing>
          <wp:inline distT="0" distB="0" distL="0" distR="0">
            <wp:extent cx="2070735" cy="2070735"/>
            <wp:effectExtent l="0" t="0" r="12065" b="1206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070735" cy="2070735"/>
                    </a:xfrm>
                    <a:prstGeom prst="rect">
                      <a:avLst/>
                    </a:prstGeom>
                    <a:noFill/>
                    <a:ln>
                      <a:noFill/>
                    </a:ln>
                  </pic:spPr>
                </pic:pic>
              </a:graphicData>
            </a:graphic>
          </wp:inline>
        </w:drawing>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lang w:val="en-US" w:eastAsia="zh-CN"/>
        </w:rPr>
        <w:t>4</w:t>
      </w:r>
      <w:r>
        <w:rPr>
          <w:rFonts w:hint="eastAsia" w:ascii="方正仿宋_GBK" w:hAnsi="方正仿宋_GBK" w:eastAsia="方正仿宋_GBK" w:cs="黑体"/>
          <w:b/>
          <w:bCs/>
          <w:sz w:val="24"/>
        </w:rPr>
        <w:t>.2  办理路径</w:t>
      </w:r>
    </w:p>
    <w:p>
      <w:pPr>
        <w:spacing w:line="360" w:lineRule="auto"/>
        <w:ind w:firstLine="480"/>
        <w:rPr>
          <w:rFonts w:hint="eastAsia" w:ascii="方正仿宋_GBK" w:hAnsi="方正仿宋_GBK" w:eastAsia="方正仿宋_GBK" w:cs="Calibri"/>
          <w:b/>
          <w:bCs/>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p>
    <w:p>
      <w:pPr>
        <w:spacing w:line="360" w:lineRule="auto"/>
        <w:ind w:firstLine="480"/>
        <w:rPr>
          <w:rFonts w:hint="eastAsia" w:ascii="方正仿宋_GBK" w:hAnsi="方正仿宋_GBK" w:eastAsia="方正仿宋_GBK" w:cs="宋体"/>
          <w:color w:val="0000FF"/>
          <w:sz w:val="24"/>
          <w:lang w:val="en-US" w:eastAsia="zh-CN" w:bidi="ar"/>
        </w:rPr>
      </w:pPr>
      <w:r>
        <w:rPr>
          <w:rFonts w:hint="eastAsia" w:ascii="方正仿宋_GBK" w:hAnsi="方正仿宋_GBK" w:eastAsia="方正仿宋_GBK" w:cs="宋体"/>
          <w:color w:val="000000"/>
          <w:kern w:val="0"/>
          <w:sz w:val="21"/>
          <w:szCs w:val="21"/>
          <w:lang w:eastAsia="zh-CN" w:bidi="ar"/>
        </w:rPr>
        <w:t>国家税务总局丹东市税务局第二税务分局车购税窗口（</w:t>
      </w:r>
      <w:r>
        <w:rPr>
          <w:rFonts w:hint="eastAsia" w:ascii="方正仿宋_GBK" w:hAnsi="方正仿宋_GBK" w:eastAsia="方正仿宋_GBK" w:cs="宋体"/>
          <w:color w:val="000000"/>
          <w:kern w:val="0"/>
          <w:sz w:val="21"/>
          <w:szCs w:val="21"/>
          <w:lang w:val="en-US" w:eastAsia="zh-CN" w:bidi="ar"/>
        </w:rPr>
        <w:t>丹东市税务局元宝区税务局办税服务大厅</w:t>
      </w:r>
      <w:r>
        <w:rPr>
          <w:rFonts w:hint="eastAsia" w:ascii="方正仿宋_GBK" w:hAnsi="方正仿宋_GBK" w:eastAsia="方正仿宋_GBK" w:cs="宋体"/>
          <w:color w:val="000000"/>
          <w:kern w:val="0"/>
          <w:sz w:val="21"/>
          <w:szCs w:val="21"/>
          <w:lang w:eastAsia="zh-CN" w:bidi="ar"/>
        </w:rPr>
        <w:t>）</w:t>
      </w:r>
      <w:r>
        <w:rPr>
          <w:rFonts w:hint="eastAsia" w:ascii="方正仿宋_GBK" w:hAnsi="方正仿宋_GBK" w:eastAsia="方正仿宋_GBK" w:cs="宋体"/>
          <w:color w:val="0000FF"/>
          <w:sz w:val="24"/>
          <w:lang w:val="en-US" w:eastAsia="zh-CN" w:bidi="ar"/>
        </w:rPr>
        <w:t xml:space="preserve">            </w:t>
      </w:r>
    </w:p>
    <w:p>
      <w:pPr>
        <w:spacing w:line="360" w:lineRule="auto"/>
        <w:ind w:firstLine="480"/>
        <w:rPr>
          <w:rFonts w:ascii="方正仿宋_GBK" w:hAnsi="方正仿宋_GBK" w:eastAsia="方正仿宋_GBK" w:cs="Calibri"/>
          <w:sz w:val="24"/>
        </w:rPr>
      </w:pPr>
      <w:r>
        <w:rPr>
          <w:rFonts w:hint="eastAsia" w:ascii="方正仿宋_GBK" w:hAnsi="方正仿宋_GBK" w:eastAsia="方正仿宋_GBK" w:cs="宋体"/>
          <w:color w:val="000000"/>
          <w:kern w:val="0"/>
          <w:sz w:val="21"/>
          <w:szCs w:val="21"/>
          <w:lang w:eastAsia="zh-CN" w:bidi="ar"/>
        </w:rPr>
        <w:t>国家税务总局丹东市税务局第二税务分局契税窗口（</w:t>
      </w:r>
      <w:r>
        <w:rPr>
          <w:rFonts w:hint="eastAsia" w:ascii="方正仿宋_GBK" w:hAnsi="方正仿宋_GBK" w:eastAsia="方正仿宋_GBK" w:cs="宋体"/>
          <w:color w:val="000000"/>
          <w:kern w:val="0"/>
          <w:sz w:val="21"/>
          <w:szCs w:val="21"/>
          <w:lang w:val="en-US" w:eastAsia="zh-CN" w:bidi="ar"/>
        </w:rPr>
        <w:t>丹东市不动产登记和房屋交易大厅</w:t>
      </w:r>
      <w:r>
        <w:rPr>
          <w:rFonts w:hint="eastAsia" w:ascii="方正仿宋_GBK" w:hAnsi="方正仿宋_GBK" w:eastAsia="方正仿宋_GBK" w:cs="宋体"/>
          <w:color w:val="000000"/>
          <w:kern w:val="0"/>
          <w:sz w:val="21"/>
          <w:szCs w:val="21"/>
          <w:lang w:eastAsia="zh-CN" w:bidi="ar"/>
        </w:rPr>
        <w:t>）</w:t>
      </w:r>
      <w:r>
        <w:rPr>
          <w:rFonts w:hint="eastAsia" w:ascii="方正仿宋_GBK" w:hAnsi="方正仿宋_GBK" w:eastAsia="方正仿宋_GBK" w:cs="宋体"/>
          <w:color w:val="0000FF"/>
          <w:sz w:val="24"/>
          <w:lang w:val="en-US" w:eastAsia="zh-CN" w:bidi="ar"/>
        </w:rPr>
        <w:t xml:space="preserve">  </w:t>
      </w:r>
    </w:p>
    <w:p>
      <w:pPr>
        <w:spacing w:line="360" w:lineRule="auto"/>
        <w:ind w:firstLine="480"/>
        <w:rPr>
          <w:rFonts w:ascii="方正仿宋_GBK" w:hAnsi="方正仿宋_GBK" w:eastAsia="方正仿宋_GBK"/>
        </w:rPr>
      </w:pPr>
      <w:r>
        <w:rPr>
          <w:rFonts w:ascii="方正仿宋_GBK" w:hAnsi="方正仿宋_GBK" w:eastAsia="方正仿宋_GBK" w:cs="Calibri"/>
          <w:sz w:val="24"/>
        </w:rPr>
        <w:t>②</w:t>
      </w:r>
      <w:r>
        <w:rPr>
          <w:rFonts w:hint="eastAsia" w:ascii="方正仿宋_GBK" w:hAnsi="方正仿宋_GBK" w:eastAsia="方正仿宋_GBK" w:cs="Calibri"/>
          <w:b/>
          <w:bCs/>
          <w:sz w:val="24"/>
        </w:rPr>
        <w:t>网上办：</w:t>
      </w:r>
      <w:r>
        <w:rPr>
          <w:rFonts w:hint="eastAsia" w:ascii="方正仿宋_GBK" w:hAnsi="方正仿宋_GBK" w:eastAsia="方正仿宋_GBK" w:cs="宋体"/>
          <w:sz w:val="24"/>
        </w:rPr>
        <w:t>辽宁省电子税务局：</w:t>
      </w:r>
      <w:r>
        <w:fldChar w:fldCharType="begin"/>
      </w:r>
      <w:r>
        <w:instrText xml:space="preserve"> HYPERLINK "https://etax.liaoning.chinatax.gov.cn/" \h </w:instrText>
      </w:r>
      <w:r>
        <w:fldChar w:fldCharType="separate"/>
      </w:r>
      <w:r>
        <w:rPr>
          <w:rFonts w:ascii="方正仿宋_GBK" w:hAnsi="方正仿宋_GBK" w:eastAsia="方正仿宋_GBK" w:cs="宋体"/>
          <w:sz w:val="24"/>
        </w:rPr>
        <w:t>https://etax.liaoning.chinatax.gov.cn/</w:t>
      </w:r>
      <w:r>
        <w:rPr>
          <w:rFonts w:ascii="方正仿宋_GBK" w:hAnsi="方正仿宋_GBK" w:eastAsia="方正仿宋_GBK" w:cs="宋体"/>
          <w:sz w:val="24"/>
        </w:rPr>
        <w:fldChar w:fldCharType="end"/>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lang w:val="en-US" w:eastAsia="zh-CN"/>
        </w:rPr>
        <w:t>4</w:t>
      </w:r>
      <w:r>
        <w:rPr>
          <w:rFonts w:hint="eastAsia" w:ascii="方正仿宋_GBK" w:hAnsi="方正仿宋_GBK" w:eastAsia="方正仿宋_GBK" w:cs="黑体"/>
          <w:b/>
          <w:bCs/>
          <w:sz w:val="24"/>
        </w:rPr>
        <w:t>.3  办理时限：</w:t>
      </w:r>
      <w:r>
        <w:rPr>
          <w:rFonts w:ascii="方正仿宋_GBK" w:hAnsi="方正仿宋_GBK" w:eastAsia="方正仿宋_GBK" w:cs="宋体"/>
          <w:sz w:val="24"/>
        </w:rPr>
        <w:t>即时办结</w:t>
      </w:r>
    </w:p>
    <w:p>
      <w:pPr>
        <w:spacing w:line="360" w:lineRule="auto"/>
        <w:ind w:firstLine="480"/>
        <w:rPr>
          <w:rFonts w:hint="eastAsia" w:ascii="方正仿宋_GBK" w:hAnsi="方正仿宋_GBK" w:eastAsia="方正仿宋_GBK" w:cs="宋体"/>
          <w:sz w:val="24"/>
        </w:rPr>
      </w:pPr>
      <w:r>
        <w:rPr>
          <w:rFonts w:hint="eastAsia" w:ascii="方正仿宋_GBK" w:hAnsi="方正仿宋_GBK" w:eastAsia="方正仿宋_GBK" w:cs="黑体"/>
          <w:b/>
          <w:bCs/>
          <w:sz w:val="24"/>
          <w:lang w:val="en-US" w:eastAsia="zh-CN"/>
        </w:rPr>
        <w:t>4</w:t>
      </w:r>
      <w:r>
        <w:rPr>
          <w:rFonts w:hint="eastAsia" w:ascii="方正仿宋_GBK" w:hAnsi="方正仿宋_GBK" w:eastAsia="方正仿宋_GBK" w:cs="黑体"/>
          <w:b/>
          <w:bCs/>
          <w:sz w:val="24"/>
        </w:rPr>
        <w:t>.4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p>
    <w:p>
      <w:pPr>
        <w:spacing w:line="360" w:lineRule="auto"/>
        <w:ind w:firstLine="480"/>
        <w:rPr>
          <w:rFonts w:hint="eastAsia" w:ascii="方正仿宋_GBK" w:hAnsi="方正仿宋_GBK" w:eastAsia="方正仿宋_GBK" w:cs="宋体"/>
          <w:sz w:val="24"/>
        </w:rPr>
      </w:pPr>
    </w:p>
    <w:p>
      <w:pPr>
        <w:spacing w:line="360" w:lineRule="auto"/>
        <w:ind w:firstLine="480"/>
        <w:rPr>
          <w:rFonts w:hint="eastAsia" w:ascii="方正仿宋_GBK" w:hAnsi="方正仿宋_GBK" w:eastAsia="方正仿宋_GBK" w:cs="宋体"/>
          <w:sz w:val="24"/>
        </w:rPr>
      </w:pPr>
    </w:p>
    <w:p>
      <w:pPr>
        <w:pStyle w:val="3"/>
        <w:outlineLvl w:val="0"/>
        <w:rPr>
          <w:rFonts w:hint="eastAsia" w:ascii="方正仿宋_GBK" w:hAnsi="方正仿宋_GBK" w:eastAsia="方正仿宋_GBK"/>
          <w:lang w:val="en-US" w:eastAsia="zh-CN"/>
        </w:rPr>
      </w:pPr>
      <w:bookmarkStart w:id="75" w:name="_Toc127988903"/>
      <w:bookmarkStart w:id="76" w:name="_Toc31871"/>
      <w:bookmarkStart w:id="77" w:name="_Toc11043"/>
      <w:bookmarkStart w:id="78" w:name="_Toc6269"/>
      <w:bookmarkStart w:id="79" w:name="_Toc128733559"/>
      <w:bookmarkStart w:id="80" w:name="_Toc26796"/>
      <w:bookmarkStart w:id="81" w:name="_Toc11691"/>
      <w:bookmarkStart w:id="82" w:name="_Toc4793"/>
      <w:bookmarkStart w:id="83" w:name="_Toc26936"/>
      <w:bookmarkStart w:id="84" w:name="_Toc10435"/>
      <w:r>
        <w:rPr>
          <w:rFonts w:hint="eastAsia" w:ascii="方正仿宋_GBK" w:hAnsi="方正仿宋_GBK" w:eastAsia="方正仿宋_GBK"/>
          <w:lang w:val="en-US" w:eastAsia="zh-CN"/>
        </w:rPr>
        <w:t>四</w:t>
      </w:r>
      <w:r>
        <w:rPr>
          <w:rFonts w:hint="eastAsia" w:ascii="方正仿宋_GBK" w:hAnsi="方正仿宋_GBK" w:eastAsia="方正仿宋_GBK"/>
        </w:rPr>
        <w:t xml:space="preserve">、 </w:t>
      </w:r>
      <w:r>
        <w:rPr>
          <w:rFonts w:ascii="方正仿宋_GBK" w:hAnsi="方正仿宋_GBK" w:eastAsia="方正仿宋_GBK"/>
        </w:rPr>
        <w:t xml:space="preserve"> 证明办理</w:t>
      </w:r>
      <w:bookmarkEnd w:id="75"/>
      <w:bookmarkEnd w:id="76"/>
      <w:bookmarkEnd w:id="77"/>
      <w:bookmarkEnd w:id="78"/>
      <w:bookmarkEnd w:id="79"/>
      <w:bookmarkEnd w:id="80"/>
      <w:bookmarkEnd w:id="81"/>
      <w:bookmarkEnd w:id="82"/>
      <w:bookmarkEnd w:id="83"/>
      <w:bookmarkEnd w:id="84"/>
      <w:r>
        <w:rPr>
          <w:rFonts w:hint="eastAsia" w:ascii="方正仿宋_GBK" w:hAnsi="方正仿宋_GBK" w:eastAsia="方正仿宋_GBK"/>
          <w:lang w:val="en-US" w:eastAsia="zh-CN"/>
        </w:rPr>
        <w:t xml:space="preserve">                   </w:t>
      </w:r>
    </w:p>
    <w:p>
      <w:pPr>
        <w:pStyle w:val="3"/>
        <w:outlineLvl w:val="0"/>
        <w:rPr>
          <w:rFonts w:ascii="方正仿宋_GBK" w:hAnsi="方正仿宋_GBK" w:eastAsia="方正仿宋_GBK"/>
        </w:rPr>
      </w:pPr>
      <w:r>
        <w:rPr>
          <w:rFonts w:hint="eastAsia" w:ascii="方正仿宋_GBK" w:hAnsi="方正仿宋_GBK" w:eastAsia="方正仿宋_GBK"/>
          <w:lang w:val="en-US" w:eastAsia="zh-CN"/>
        </w:rPr>
        <w:t xml:space="preserve">  </w:t>
      </w:r>
      <w:bookmarkStart w:id="85" w:name="_Toc14071"/>
      <w:bookmarkStart w:id="86" w:name="_Toc2292"/>
      <w:bookmarkStart w:id="87" w:name="_Toc22797"/>
      <w:bookmarkStart w:id="88" w:name="_Toc28585"/>
      <w:bookmarkStart w:id="89" w:name="_Toc25586"/>
      <w:bookmarkStart w:id="90" w:name="_Toc19570"/>
      <w:bookmarkStart w:id="91" w:name="_Toc127988905"/>
      <w:bookmarkStart w:id="92" w:name="_Toc9432"/>
      <w:bookmarkStart w:id="93" w:name="_Toc15726"/>
      <w:r>
        <w:rPr>
          <w:rFonts w:hint="eastAsia" w:ascii="方正仿宋_GBK" w:hAnsi="方正仿宋_GBK" w:eastAsia="方正仿宋_GBK"/>
          <w:lang w:val="en-US" w:eastAsia="zh-CN"/>
        </w:rPr>
        <w:t>5</w:t>
      </w:r>
      <w:r>
        <w:rPr>
          <w:rFonts w:hint="eastAsia" w:ascii="方正仿宋_GBK" w:hAnsi="方正仿宋_GBK" w:eastAsia="方正仿宋_GBK"/>
        </w:rPr>
        <w:t>.</w:t>
      </w:r>
      <w:r>
        <w:rPr>
          <w:rFonts w:ascii="方正仿宋_GBK" w:hAnsi="方正仿宋_GBK" w:eastAsia="方正仿宋_GBK"/>
        </w:rPr>
        <w:t>开具税收完税证明</w:t>
      </w:r>
      <w:bookmarkEnd w:id="85"/>
      <w:bookmarkEnd w:id="86"/>
      <w:bookmarkEnd w:id="87"/>
      <w:bookmarkEnd w:id="88"/>
      <w:bookmarkEnd w:id="89"/>
      <w:bookmarkEnd w:id="90"/>
      <w:bookmarkEnd w:id="91"/>
      <w:bookmarkEnd w:id="92"/>
      <w:bookmarkEnd w:id="93"/>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2063750" cy="2063750"/>
            <wp:effectExtent l="0" t="0" r="6350" b="6350"/>
            <wp:docPr id="1" name="图片 1" descr="开具税收完税证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具税收完税证明 (1)"/>
                    <pic:cNvPicPr>
                      <a:picLocks noChangeAspect="1"/>
                    </pic:cNvPicPr>
                  </pic:nvPicPr>
                  <pic:blipFill>
                    <a:blip r:embed="rId23"/>
                    <a:stretch>
                      <a:fillRect/>
                    </a:stretch>
                  </pic:blipFill>
                  <pic:spPr>
                    <a:xfrm>
                      <a:off x="0" y="0"/>
                      <a:ext cx="2063750" cy="2063750"/>
                    </a:xfrm>
                    <a:prstGeom prst="rect">
                      <a:avLst/>
                    </a:prstGeom>
                  </pic:spPr>
                </pic:pic>
              </a:graphicData>
            </a:graphic>
          </wp:inline>
        </w:drawing>
      </w:r>
      <w:r>
        <w:rPr>
          <w:rFonts w:hint="eastAsia" w:ascii="方正仿宋_GBK" w:hAnsi="方正仿宋_GBK" w:eastAsia="方正仿宋_GBK"/>
          <w:lang w:val="en-US" w:eastAsia="zh-CN"/>
        </w:rPr>
        <w:t xml:space="preserve">                  </w:t>
      </w:r>
    </w:p>
    <w:p>
      <w:pPr>
        <w:spacing w:line="360" w:lineRule="auto"/>
        <w:ind w:firstLine="480"/>
        <w:rPr>
          <w:rFonts w:ascii="方正仿宋_GBK" w:hAnsi="方正仿宋_GBK" w:eastAsia="方正仿宋_GBK" w:cs="宋体"/>
          <w:sz w:val="24"/>
        </w:rPr>
      </w:pPr>
      <w:r>
        <w:rPr>
          <w:rFonts w:ascii="方正仿宋_GBK" w:hAnsi="方正仿宋_GBK" w:eastAsia="方正仿宋_GBK" w:cs="宋体"/>
          <w:sz w:val="24"/>
        </w:rPr>
        <w:t>纳税人已经缴纳税款</w:t>
      </w:r>
      <w:r>
        <w:rPr>
          <w:rFonts w:hint="eastAsia" w:ascii="方正仿宋_GBK" w:hAnsi="方正仿宋_GBK" w:eastAsia="方正仿宋_GBK" w:cs="宋体"/>
          <w:sz w:val="24"/>
        </w:rPr>
        <w:t>，</w:t>
      </w:r>
      <w:r>
        <w:rPr>
          <w:rFonts w:ascii="方正仿宋_GBK" w:hAnsi="方正仿宋_GBK" w:eastAsia="方正仿宋_GBK" w:cs="宋体"/>
          <w:sz w:val="24"/>
        </w:rPr>
        <w:t>可以申请开具税收完税证明</w:t>
      </w:r>
      <w:r>
        <w:rPr>
          <w:rFonts w:hint="eastAsia" w:ascii="方正仿宋_GBK" w:hAnsi="方正仿宋_GBK" w:eastAsia="方正仿宋_GBK" w:cs="宋体"/>
          <w:sz w:val="24"/>
        </w:rPr>
        <w:t>。</w:t>
      </w:r>
    </w:p>
    <w:p>
      <w:pPr>
        <w:spacing w:line="360" w:lineRule="auto"/>
        <w:ind w:firstLine="480"/>
        <w:rPr>
          <w:rFonts w:ascii="方正仿宋_GBK" w:hAnsi="方正仿宋_GBK" w:eastAsia="方正仿宋_GBK" w:cs="黑体"/>
          <w:b/>
          <w:bCs/>
          <w:sz w:val="24"/>
        </w:rPr>
      </w:pPr>
      <w:r>
        <w:rPr>
          <w:rFonts w:hint="eastAsia" w:ascii="方正仿宋_GBK" w:hAnsi="方正仿宋_GBK" w:eastAsia="方正仿宋_GBK" w:cs="黑体"/>
          <w:b/>
          <w:bCs/>
          <w:sz w:val="24"/>
          <w:lang w:val="en-US" w:eastAsia="zh-CN"/>
        </w:rPr>
        <w:t>5</w:t>
      </w:r>
      <w:r>
        <w:rPr>
          <w:rFonts w:hint="eastAsia" w:ascii="方正仿宋_GBK" w:hAnsi="方正仿宋_GBK" w:eastAsia="方正仿宋_GBK" w:cs="黑体"/>
          <w:b/>
          <w:bCs/>
          <w:sz w:val="24"/>
        </w:rPr>
        <w:t>.1  需提供要件</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rPr>
        <w:t>①</w:t>
      </w:r>
      <w:r>
        <w:rPr>
          <w:rFonts w:hint="eastAsia" w:ascii="方正仿宋_GBK" w:hAnsi="方正仿宋_GBK" w:eastAsia="方正仿宋_GBK" w:cs="Calibri"/>
          <w:sz w:val="24"/>
        </w:rPr>
        <w:t>已办理税务登记的纳税人，需提供加载统一社会信用代码的营业执照 （或税务登记证、组织机构代码证等）原件（资料来源：纳税人）</w:t>
      </w:r>
    </w:p>
    <w:p>
      <w:pPr>
        <w:spacing w:line="360" w:lineRule="auto"/>
        <w:ind w:firstLine="480"/>
        <w:rPr>
          <w:rFonts w:ascii="方正仿宋_GBK" w:hAnsi="方正仿宋_GBK" w:eastAsia="方正仿宋_GBK" w:cs="Calibri"/>
          <w:sz w:val="24"/>
        </w:rPr>
      </w:pPr>
      <w:r>
        <w:rPr>
          <w:rFonts w:ascii="方正仿宋_GBK" w:hAnsi="方正仿宋_GBK" w:eastAsia="方正仿宋_GBK" w:cs="Calibri"/>
          <w:sz w:val="24"/>
          <w:szCs w:val="24"/>
        </w:rPr>
        <w:t>②</w:t>
      </w:r>
      <w:r>
        <w:rPr>
          <w:rFonts w:hint="eastAsia" w:ascii="方正仿宋_GBK" w:hAnsi="方正仿宋_GBK" w:eastAsia="方正仿宋_GBK" w:cs="Calibri"/>
          <w:sz w:val="24"/>
        </w:rPr>
        <w:t>自然人，需提供身份证件原件（资料来源：纳税人）</w:t>
      </w:r>
    </w:p>
    <w:p>
      <w:pPr>
        <w:spacing w:line="360" w:lineRule="auto"/>
        <w:ind w:firstLine="480"/>
        <w:rPr>
          <w:rFonts w:ascii="方正仿宋_GBK" w:hAnsi="方正仿宋_GBK" w:eastAsia="方正仿宋_GBK" w:cs="黑体"/>
          <w:b/>
          <w:bCs/>
          <w:sz w:val="24"/>
        </w:rPr>
      </w:pPr>
      <w:bookmarkStart w:id="94" w:name="_Toc20680"/>
      <w:bookmarkStart w:id="95" w:name="_Toc934"/>
      <w:bookmarkStart w:id="96" w:name="_Toc7988"/>
      <w:bookmarkStart w:id="97" w:name="_Toc25324"/>
      <w:bookmarkStart w:id="98" w:name="_Toc13109"/>
      <w:bookmarkStart w:id="99" w:name="_Toc23701"/>
      <w:bookmarkStart w:id="100" w:name="_Toc127988907"/>
      <w:bookmarkStart w:id="101" w:name="_Toc23795"/>
      <w:r>
        <w:rPr>
          <w:rFonts w:hint="eastAsia" w:ascii="方正仿宋_GBK" w:hAnsi="方正仿宋_GBK" w:eastAsia="方正仿宋_GBK" w:cs="黑体"/>
          <w:b/>
          <w:bCs/>
          <w:sz w:val="24"/>
          <w:lang w:val="en-US" w:eastAsia="zh-CN"/>
        </w:rPr>
        <w:t>5</w:t>
      </w:r>
      <w:r>
        <w:rPr>
          <w:rFonts w:hint="eastAsia" w:ascii="方正仿宋_GBK" w:hAnsi="方正仿宋_GBK" w:eastAsia="方正仿宋_GBK" w:cs="黑体"/>
          <w:b/>
          <w:bCs/>
          <w:sz w:val="24"/>
        </w:rPr>
        <w:t>.2  办理路径</w:t>
      </w:r>
    </w:p>
    <w:p>
      <w:pPr>
        <w:spacing w:line="360" w:lineRule="auto"/>
        <w:ind w:firstLine="480"/>
        <w:rPr>
          <w:rFonts w:hint="eastAsia" w:ascii="方正仿宋_GBK" w:hAnsi="方正仿宋_GBK" w:eastAsia="方正仿宋_GBK" w:cs="Calibri"/>
          <w:b/>
          <w:bCs/>
          <w:sz w:val="24"/>
        </w:rPr>
      </w:pPr>
      <w:r>
        <w:rPr>
          <w:rFonts w:ascii="方正仿宋_GBK" w:hAnsi="方正仿宋_GBK" w:eastAsia="方正仿宋_GBK" w:cs="Calibri"/>
          <w:sz w:val="24"/>
        </w:rPr>
        <w:t>①</w:t>
      </w:r>
      <w:r>
        <w:rPr>
          <w:rFonts w:hint="eastAsia" w:ascii="方正仿宋_GBK" w:hAnsi="方正仿宋_GBK" w:eastAsia="方正仿宋_GBK" w:cs="Calibri"/>
          <w:b/>
          <w:bCs/>
          <w:sz w:val="24"/>
        </w:rPr>
        <w:t>窗口办：</w:t>
      </w:r>
    </w:p>
    <w:p>
      <w:pPr>
        <w:spacing w:line="360" w:lineRule="auto"/>
        <w:ind w:firstLine="480"/>
        <w:rPr>
          <w:rFonts w:hint="eastAsia" w:ascii="方正仿宋_GBK" w:hAnsi="方正仿宋_GBK" w:eastAsia="方正仿宋_GBK" w:cs="宋体"/>
          <w:color w:val="0000FF"/>
          <w:sz w:val="24"/>
          <w:lang w:val="en-US" w:eastAsia="zh-CN" w:bidi="ar"/>
        </w:rPr>
      </w:pPr>
      <w:r>
        <w:rPr>
          <w:rFonts w:hint="eastAsia" w:ascii="方正仿宋_GBK" w:hAnsi="方正仿宋_GBK" w:eastAsia="方正仿宋_GBK" w:cs="宋体"/>
          <w:color w:val="000000"/>
          <w:kern w:val="0"/>
          <w:sz w:val="21"/>
          <w:szCs w:val="21"/>
          <w:lang w:eastAsia="zh-CN" w:bidi="ar"/>
        </w:rPr>
        <w:t>国家税务总局丹东市税务局第二税务分局车购税窗口（</w:t>
      </w:r>
      <w:r>
        <w:rPr>
          <w:rFonts w:hint="eastAsia" w:ascii="方正仿宋_GBK" w:hAnsi="方正仿宋_GBK" w:eastAsia="方正仿宋_GBK" w:cs="宋体"/>
          <w:color w:val="000000"/>
          <w:kern w:val="0"/>
          <w:sz w:val="21"/>
          <w:szCs w:val="21"/>
          <w:lang w:val="en-US" w:eastAsia="zh-CN" w:bidi="ar"/>
        </w:rPr>
        <w:t>丹东市税务局元宝区税务局办税服务大厅</w:t>
      </w:r>
      <w:r>
        <w:rPr>
          <w:rFonts w:hint="eastAsia" w:ascii="方正仿宋_GBK" w:hAnsi="方正仿宋_GBK" w:eastAsia="方正仿宋_GBK" w:cs="宋体"/>
          <w:color w:val="000000"/>
          <w:kern w:val="0"/>
          <w:sz w:val="21"/>
          <w:szCs w:val="21"/>
          <w:lang w:eastAsia="zh-CN" w:bidi="ar"/>
        </w:rPr>
        <w:t>）</w:t>
      </w:r>
      <w:r>
        <w:rPr>
          <w:rFonts w:hint="eastAsia" w:ascii="方正仿宋_GBK" w:hAnsi="方正仿宋_GBK" w:eastAsia="方正仿宋_GBK" w:cs="宋体"/>
          <w:color w:val="0000FF"/>
          <w:sz w:val="24"/>
          <w:lang w:val="en-US" w:eastAsia="zh-CN" w:bidi="ar"/>
        </w:rPr>
        <w:t xml:space="preserve">            </w:t>
      </w:r>
    </w:p>
    <w:p>
      <w:pPr>
        <w:spacing w:line="360" w:lineRule="auto"/>
        <w:ind w:firstLine="480"/>
        <w:rPr>
          <w:rFonts w:hint="default" w:ascii="方正仿宋_GBK" w:hAnsi="方正仿宋_GBK" w:eastAsia="方正仿宋_GBK" w:cs="黑体"/>
          <w:b/>
          <w:bCs/>
          <w:sz w:val="24"/>
          <w:lang w:val="en-US" w:eastAsia="zh-CN"/>
        </w:rPr>
      </w:pPr>
      <w:r>
        <w:rPr>
          <w:rFonts w:hint="eastAsia" w:ascii="方正仿宋_GBK" w:hAnsi="方正仿宋_GBK" w:eastAsia="方正仿宋_GBK" w:cs="宋体"/>
          <w:color w:val="000000"/>
          <w:kern w:val="0"/>
          <w:sz w:val="21"/>
          <w:szCs w:val="21"/>
          <w:lang w:eastAsia="zh-CN" w:bidi="ar"/>
        </w:rPr>
        <w:t>国家税务总局丹东市税务局第二税务分局契税窗口（</w:t>
      </w:r>
      <w:r>
        <w:rPr>
          <w:rFonts w:hint="eastAsia" w:ascii="方正仿宋_GBK" w:hAnsi="方正仿宋_GBK" w:eastAsia="方正仿宋_GBK" w:cs="宋体"/>
          <w:color w:val="000000"/>
          <w:kern w:val="0"/>
          <w:sz w:val="21"/>
          <w:szCs w:val="21"/>
          <w:lang w:val="en-US" w:eastAsia="zh-CN" w:bidi="ar"/>
        </w:rPr>
        <w:t>丹东市不动产登记和房屋交易大厅</w:t>
      </w:r>
      <w:r>
        <w:rPr>
          <w:rFonts w:hint="eastAsia" w:ascii="方正仿宋_GBK" w:hAnsi="方正仿宋_GBK" w:eastAsia="方正仿宋_GBK" w:cs="宋体"/>
          <w:color w:val="000000"/>
          <w:kern w:val="0"/>
          <w:sz w:val="21"/>
          <w:szCs w:val="21"/>
          <w:lang w:eastAsia="zh-CN" w:bidi="ar"/>
        </w:rPr>
        <w:t>）</w:t>
      </w:r>
      <w:r>
        <w:rPr>
          <w:rFonts w:hint="eastAsia" w:ascii="方正仿宋_GBK" w:hAnsi="方正仿宋_GBK" w:eastAsia="方正仿宋_GBK" w:cs="宋体"/>
          <w:color w:val="0000FF"/>
          <w:sz w:val="24"/>
          <w:lang w:val="en-US" w:eastAsia="zh-CN" w:bidi="ar"/>
        </w:rPr>
        <w:t xml:space="preserve">  </w:t>
      </w:r>
      <w:r>
        <w:rPr>
          <w:rFonts w:hint="eastAsia" w:ascii="方正仿宋_GBK" w:hAnsi="方正仿宋_GBK" w:eastAsia="方正仿宋_GBK"/>
          <w:lang w:val="en-US" w:eastAsia="zh-CN"/>
        </w:rPr>
        <w:t xml:space="preserve">                                 </w:t>
      </w:r>
    </w:p>
    <w:p>
      <w:pPr>
        <w:spacing w:line="360" w:lineRule="auto"/>
        <w:ind w:firstLine="480"/>
        <w:rPr>
          <w:rFonts w:ascii="方正仿宋_GBK" w:hAnsi="方正仿宋_GBK" w:eastAsia="方正仿宋_GBK" w:cs="宋体"/>
          <w:sz w:val="24"/>
        </w:rPr>
      </w:pPr>
      <w:r>
        <w:rPr>
          <w:rFonts w:hint="eastAsia" w:ascii="方正仿宋_GBK" w:hAnsi="方正仿宋_GBK" w:eastAsia="方正仿宋_GBK" w:cs="黑体"/>
          <w:b/>
          <w:bCs/>
          <w:sz w:val="24"/>
          <w:lang w:val="en-US" w:eastAsia="zh-CN"/>
        </w:rPr>
        <w:t>5</w:t>
      </w:r>
      <w:r>
        <w:rPr>
          <w:rFonts w:hint="eastAsia" w:ascii="方正仿宋_GBK" w:hAnsi="方正仿宋_GBK" w:eastAsia="方正仿宋_GBK" w:cs="黑体"/>
          <w:b/>
          <w:bCs/>
          <w:sz w:val="24"/>
        </w:rPr>
        <w:t>.3  办理时限：</w:t>
      </w:r>
      <w:r>
        <w:rPr>
          <w:rFonts w:ascii="方正仿宋_GBK" w:hAnsi="方正仿宋_GBK" w:eastAsia="方正仿宋_GBK" w:cs="宋体"/>
          <w:sz w:val="24"/>
        </w:rPr>
        <w:t>即时办结</w:t>
      </w:r>
    </w:p>
    <w:p>
      <w:pPr>
        <w:spacing w:line="360" w:lineRule="auto"/>
        <w:ind w:firstLine="480"/>
        <w:rPr>
          <w:rFonts w:hint="eastAsia" w:ascii="方正仿宋_GBK" w:hAnsi="方正仿宋_GBK" w:eastAsia="方正仿宋_GBK" w:cs="宋体"/>
          <w:sz w:val="24"/>
        </w:rPr>
      </w:pPr>
      <w:r>
        <w:rPr>
          <w:rFonts w:hint="eastAsia" w:ascii="方正仿宋_GBK" w:hAnsi="方正仿宋_GBK" w:eastAsia="方正仿宋_GBK" w:cs="黑体"/>
          <w:b/>
          <w:bCs/>
          <w:sz w:val="24"/>
          <w:lang w:val="en-US" w:eastAsia="zh-CN"/>
        </w:rPr>
        <w:t>5</w:t>
      </w:r>
      <w:r>
        <w:rPr>
          <w:rFonts w:hint="eastAsia" w:ascii="方正仿宋_GBK" w:hAnsi="方正仿宋_GBK" w:eastAsia="方正仿宋_GBK" w:cs="黑体"/>
          <w:b/>
          <w:bCs/>
          <w:sz w:val="24"/>
        </w:rPr>
        <w:t>.4  温馨提示：</w:t>
      </w:r>
      <w:r>
        <w:rPr>
          <w:rFonts w:hint="eastAsia" w:ascii="方正仿宋_GBK" w:hAnsi="方正仿宋_GBK" w:eastAsia="方正仿宋_GBK" w:cs="宋体"/>
          <w:sz w:val="24"/>
        </w:rPr>
        <w:t>为保障您便捷快速办税缴费，建议您优先选择“网上办”方式。确需到办税服务厅办理，您可先拨打咨询电话，避免业务高峰期等候，我们为您提供预约服务和延时服务，如有问题可拨打12366咨询投诉。</w:t>
      </w:r>
      <w:bookmarkEnd w:id="16"/>
      <w:bookmarkEnd w:id="17"/>
      <w:bookmarkEnd w:id="18"/>
      <w:bookmarkEnd w:id="19"/>
      <w:bookmarkEnd w:id="20"/>
      <w:bookmarkEnd w:id="21"/>
      <w:bookmarkEnd w:id="22"/>
      <w:bookmarkEnd w:id="23"/>
      <w:bookmarkEnd w:id="94"/>
      <w:bookmarkEnd w:id="95"/>
      <w:bookmarkEnd w:id="96"/>
      <w:bookmarkEnd w:id="97"/>
      <w:bookmarkEnd w:id="98"/>
      <w:bookmarkEnd w:id="99"/>
      <w:bookmarkEnd w:id="100"/>
      <w:bookmarkEnd w:id="101"/>
      <w:bookmarkStart w:id="102" w:name="_Hlk128903034"/>
      <w:bookmarkStart w:id="103" w:name="_Hlk128945976"/>
    </w:p>
    <w:p>
      <w:pPr>
        <w:spacing w:line="360" w:lineRule="auto"/>
        <w:ind w:firstLine="480"/>
        <w:rPr>
          <w:rFonts w:hint="eastAsia" w:ascii="方正仿宋_GBK" w:hAnsi="方正仿宋_GBK" w:eastAsia="方正仿宋_GBK" w:cs="宋体"/>
          <w:sz w:val="24"/>
        </w:rPr>
      </w:pPr>
    </w:p>
    <w:p>
      <w:pPr>
        <w:spacing w:line="360" w:lineRule="auto"/>
        <w:ind w:firstLine="480"/>
        <w:rPr>
          <w:rFonts w:hint="eastAsia" w:ascii="方正仿宋_GBK" w:hAnsi="方正仿宋_GBK" w:eastAsia="方正仿宋_GBK" w:cs="宋体"/>
          <w:sz w:val="24"/>
        </w:rPr>
      </w:pPr>
    </w:p>
    <w:p>
      <w:pPr>
        <w:spacing w:line="360" w:lineRule="auto"/>
        <w:ind w:firstLine="480"/>
        <w:rPr>
          <w:rFonts w:hint="eastAsia" w:ascii="方正仿宋_GBK" w:hAnsi="方正仿宋_GBK" w:eastAsia="方正仿宋_GBK" w:cs="宋体"/>
          <w:sz w:val="24"/>
        </w:rPr>
      </w:pPr>
    </w:p>
    <w:p>
      <w:pPr>
        <w:pStyle w:val="2"/>
        <w:rPr>
          <w:rFonts w:hint="eastAsia" w:ascii="方正仿宋_GBK" w:hAnsi="方正仿宋_GBK" w:eastAsia="方正仿宋_GBK"/>
          <w:lang w:eastAsia="zh-CN"/>
        </w:rPr>
      </w:pPr>
      <w:bookmarkStart w:id="104" w:name="_Toc20385"/>
      <w:r>
        <w:rPr>
          <w:rFonts w:hint="eastAsia" w:ascii="方正仿宋_GBK" w:hAnsi="方正仿宋_GBK" w:eastAsia="方正仿宋_GBK"/>
        </w:rPr>
        <w:t>违规禁办事项清单</w:t>
      </w:r>
      <w:bookmarkEnd w:id="104"/>
      <w:r>
        <w:rPr>
          <w:rFonts w:hint="eastAsia" w:ascii="方正仿宋_GBK" w:hAnsi="方正仿宋_GBK" w:eastAsia="方正仿宋_GBK"/>
          <w:lang w:val="en-US" w:eastAsia="zh-CN"/>
        </w:rPr>
        <w:t xml:space="preserve">               </w:t>
      </w:r>
      <w:r>
        <w:rPr>
          <w:rFonts w:hint="eastAsia" w:ascii="方正仿宋_GBK" w:hAnsi="方正仿宋_GBK" w:eastAsia="方正仿宋_GBK"/>
          <w:lang w:eastAsia="zh-CN"/>
        </w:rPr>
        <w:drawing>
          <wp:inline distT="0" distB="0" distL="114300" distR="114300">
            <wp:extent cx="1992630" cy="1992630"/>
            <wp:effectExtent l="0" t="0" r="1270" b="1270"/>
            <wp:docPr id="26" name="图片 26" descr="违规禁办事项清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违规禁办事项清单"/>
                    <pic:cNvPicPr>
                      <a:picLocks noChangeAspect="1"/>
                    </pic:cNvPicPr>
                  </pic:nvPicPr>
                  <pic:blipFill>
                    <a:blip r:embed="rId24"/>
                    <a:stretch>
                      <a:fillRect/>
                    </a:stretch>
                  </pic:blipFill>
                  <pic:spPr>
                    <a:xfrm>
                      <a:off x="0" y="0"/>
                      <a:ext cx="1992630" cy="1992630"/>
                    </a:xfrm>
                    <a:prstGeom prst="rect">
                      <a:avLst/>
                    </a:prstGeom>
                  </pic:spPr>
                </pic:pic>
              </a:graphicData>
            </a:graphic>
          </wp:inline>
        </w:drawing>
      </w:r>
    </w:p>
    <w:p/>
    <w:bookmarkEnd w:id="102"/>
    <w:tbl>
      <w:tblPr>
        <w:tblStyle w:val="13"/>
        <w:tblW w:w="5000" w:type="pct"/>
        <w:tblInd w:w="0" w:type="dxa"/>
        <w:tblLayout w:type="autofit"/>
        <w:tblCellMar>
          <w:top w:w="0" w:type="dxa"/>
          <w:left w:w="108" w:type="dxa"/>
          <w:bottom w:w="0" w:type="dxa"/>
          <w:right w:w="108" w:type="dxa"/>
        </w:tblCellMar>
      </w:tblPr>
      <w:tblGrid>
        <w:gridCol w:w="2302"/>
        <w:gridCol w:w="8154"/>
      </w:tblGrid>
      <w:tr>
        <w:tblPrEx>
          <w:tblCellMar>
            <w:top w:w="0" w:type="dxa"/>
            <w:left w:w="108" w:type="dxa"/>
            <w:bottom w:w="0" w:type="dxa"/>
            <w:right w:w="108" w:type="dxa"/>
          </w:tblCellMar>
        </w:tblPrEx>
        <w:trPr>
          <w:trHeight w:val="375" w:hRule="atLeast"/>
          <w:tblHeader/>
        </w:trPr>
        <w:tc>
          <w:tcPr>
            <w:tcW w:w="110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禁办事项</w:t>
            </w:r>
          </w:p>
        </w:tc>
        <w:tc>
          <w:tcPr>
            <w:tcW w:w="3898" w:type="pct"/>
            <w:tcBorders>
              <w:top w:val="single" w:color="auto" w:sz="4" w:space="0"/>
              <w:left w:val="nil"/>
              <w:bottom w:val="single" w:color="auto" w:sz="4" w:space="0"/>
              <w:right w:val="single" w:color="auto" w:sz="4" w:space="0"/>
            </w:tcBorders>
            <w:shd w:val="clear" w:color="auto" w:fill="auto"/>
          </w:tcPr>
          <w:p>
            <w:pPr>
              <w:widowControl/>
              <w:jc w:val="center"/>
              <w:rPr>
                <w:rFonts w:ascii="方正仿宋_GBK" w:hAnsi="方正仿宋_GBK" w:eastAsia="方正仿宋_GBK" w:cs="宋体"/>
                <w:b/>
                <w:bCs/>
                <w:kern w:val="0"/>
                <w:sz w:val="32"/>
                <w:szCs w:val="32"/>
              </w:rPr>
            </w:pPr>
            <w:r>
              <w:rPr>
                <w:rFonts w:hint="eastAsia" w:ascii="方正仿宋_GBK" w:hAnsi="方正仿宋_GBK" w:eastAsia="方正仿宋_GBK" w:cs="宋体"/>
                <w:b/>
                <w:bCs/>
                <w:kern w:val="0"/>
                <w:sz w:val="32"/>
                <w:szCs w:val="32"/>
              </w:rPr>
              <w:t>禁办情形</w:t>
            </w:r>
          </w:p>
        </w:tc>
      </w:tr>
      <w:tr>
        <w:tblPrEx>
          <w:tblCellMar>
            <w:top w:w="0" w:type="dxa"/>
            <w:left w:w="108" w:type="dxa"/>
            <w:bottom w:w="0" w:type="dxa"/>
            <w:right w:w="108" w:type="dxa"/>
          </w:tblCellMar>
        </w:tblPrEx>
        <w:trPr>
          <w:trHeight w:val="375" w:hRule="atLeast"/>
        </w:trPr>
        <w:tc>
          <w:tcPr>
            <w:tcW w:w="1101" w:type="pc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lang w:eastAsia="zh-CN"/>
              </w:rPr>
              <w:t>一</w:t>
            </w:r>
            <w:r>
              <w:rPr>
                <w:rFonts w:hint="eastAsia" w:ascii="方正仿宋_GBK" w:hAnsi="方正仿宋_GBK" w:eastAsia="方正仿宋_GBK" w:cs="宋体"/>
                <w:color w:val="000000"/>
                <w:kern w:val="0"/>
                <w:sz w:val="24"/>
                <w:szCs w:val="24"/>
              </w:rPr>
              <w:t>、违反纳税申报规定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1.不按照规定期限办理纳税申报和报送纳税资料</w:t>
            </w:r>
          </w:p>
        </w:tc>
      </w:tr>
      <w:tr>
        <w:tblPrEx>
          <w:tblCellMar>
            <w:top w:w="0" w:type="dxa"/>
            <w:left w:w="108" w:type="dxa"/>
            <w:bottom w:w="0" w:type="dxa"/>
            <w:right w:w="108" w:type="dxa"/>
          </w:tblCellMar>
        </w:tblPrEx>
        <w:trPr>
          <w:trHeight w:val="375" w:hRule="atLeast"/>
        </w:trPr>
        <w:tc>
          <w:tcPr>
            <w:tcW w:w="1101"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lang w:val="en-US" w:eastAsia="zh-CN"/>
              </w:rPr>
              <w:t>二</w:t>
            </w:r>
            <w:r>
              <w:rPr>
                <w:rFonts w:hint="eastAsia" w:ascii="方正仿宋_GBK" w:hAnsi="方正仿宋_GBK" w:eastAsia="方正仿宋_GBK" w:cs="宋体"/>
                <w:color w:val="000000"/>
                <w:kern w:val="0"/>
                <w:sz w:val="24"/>
                <w:szCs w:val="24"/>
              </w:rPr>
              <w:t>、违反税款征收规定</w:t>
            </w: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rPr>
              <w:t>1.纳税人不进行纳税申报，不缴或者少缴应纳税款</w:t>
            </w:r>
          </w:p>
        </w:tc>
      </w:tr>
      <w:tr>
        <w:tblPrEx>
          <w:tblCellMar>
            <w:top w:w="0" w:type="dxa"/>
            <w:left w:w="108" w:type="dxa"/>
            <w:bottom w:w="0" w:type="dxa"/>
            <w:right w:w="108" w:type="dxa"/>
          </w:tblCellMar>
        </w:tblPrEx>
        <w:trPr>
          <w:trHeight w:val="480" w:hRule="atLeast"/>
        </w:trPr>
        <w:tc>
          <w:tcPr>
            <w:tcW w:w="1101" w:type="pct"/>
            <w:vMerge w:val="continue"/>
            <w:tcBorders>
              <w:top w:val="nil"/>
              <w:left w:val="single" w:color="auto" w:sz="4" w:space="0"/>
              <w:bottom w:val="single" w:color="auto" w:sz="4" w:space="0"/>
              <w:right w:val="single" w:color="auto" w:sz="4" w:space="0"/>
            </w:tcBorders>
            <w:vAlign w:val="center"/>
          </w:tcPr>
          <w:p>
            <w:pPr>
              <w:widowControl/>
              <w:jc w:val="left"/>
              <w:rPr>
                <w:rFonts w:ascii="方正仿宋_GBK" w:hAnsi="方正仿宋_GBK" w:eastAsia="方正仿宋_GBK" w:cs="宋体"/>
                <w:color w:val="000000"/>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 w:val="24"/>
                <w:szCs w:val="24"/>
              </w:rPr>
            </w:pPr>
            <w:r>
              <w:rPr>
                <w:rFonts w:hint="eastAsia" w:ascii="方正仿宋_GBK" w:hAnsi="方正仿宋_GBK" w:eastAsia="方正仿宋_GBK" w:cs="宋体"/>
                <w:color w:val="000000"/>
                <w:kern w:val="0"/>
                <w:sz w:val="24"/>
                <w:szCs w:val="24"/>
                <w:lang w:val="en-US" w:eastAsia="zh-CN"/>
              </w:rPr>
              <w:t>2.</w:t>
            </w:r>
            <w:r>
              <w:rPr>
                <w:rFonts w:hint="eastAsia" w:ascii="方正仿宋_GBK" w:hAnsi="方正仿宋_GBK" w:eastAsia="方正仿宋_GBK" w:cs="宋体"/>
                <w:color w:val="000000"/>
                <w:kern w:val="0"/>
                <w:sz w:val="24"/>
                <w:szCs w:val="24"/>
              </w:rPr>
              <w:t>为纳税人、扣缴义务人非法提供银行账户、发票、证明或者其他方便，导致未缴、少缴税款或者骗取国家出口退税款</w:t>
            </w:r>
          </w:p>
        </w:tc>
      </w:tr>
      <w:tr>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Cs/>
                <w:kern w:val="0"/>
                <w:sz w:val="24"/>
                <w:szCs w:val="24"/>
              </w:rPr>
            </w:pPr>
            <w:r>
              <w:rPr>
                <w:rFonts w:hint="eastAsia" w:ascii="方正仿宋_GBK" w:hAnsi="方正仿宋_GBK" w:eastAsia="方正仿宋_GBK" w:cs="宋体"/>
                <w:bCs/>
                <w:kern w:val="0"/>
                <w:sz w:val="28"/>
                <w:szCs w:val="28"/>
              </w:rPr>
              <w:t>禁办事项存在禁办情形中的任意一种即禁止办理</w:t>
            </w:r>
          </w:p>
        </w:tc>
      </w:tr>
      <w:bookmarkEnd w:id="103"/>
    </w:tbl>
    <w:p>
      <w:pPr>
        <w:widowControl/>
        <w:jc w:val="left"/>
        <w:rPr>
          <w:rFonts w:ascii="方正仿宋_GBK" w:hAnsi="方正仿宋_GBK" w:eastAsia="方正仿宋_GBK"/>
        </w:rPr>
      </w:pPr>
    </w:p>
    <w:p>
      <w:pPr>
        <w:widowControl/>
        <w:jc w:val="left"/>
        <w:rPr>
          <w:rFonts w:ascii="方正仿宋_GBK" w:hAnsi="方正仿宋_GBK" w:eastAsia="方正仿宋_GBK"/>
        </w:rPr>
      </w:pPr>
    </w:p>
    <w:p>
      <w:pPr>
        <w:pStyle w:val="2"/>
        <w:rPr>
          <w:rFonts w:hint="eastAsia" w:ascii="方正仿宋_GBK" w:hAnsi="方正仿宋_GBK" w:eastAsia="方正仿宋_GBK"/>
        </w:rPr>
      </w:pPr>
      <w:bookmarkStart w:id="105" w:name="_Toc23340"/>
    </w:p>
    <w:p>
      <w:pPr>
        <w:pStyle w:val="2"/>
        <w:rPr>
          <w:rFonts w:hint="eastAsia" w:ascii="方正仿宋_GBK" w:hAnsi="方正仿宋_GBK" w:eastAsia="方正仿宋_GBK"/>
        </w:rPr>
      </w:pPr>
      <w:r>
        <w:rPr>
          <w:rFonts w:hint="eastAsia" w:ascii="方正仿宋_GBK" w:hAnsi="方正仿宋_GBK" w:eastAsia="方正仿宋_GBK"/>
        </w:rPr>
        <w:t>容缺办理事项清单</w:t>
      </w:r>
      <w:bookmarkEnd w:id="105"/>
      <w:r>
        <w:rPr>
          <w:rFonts w:hint="eastAsia" w:ascii="方正仿宋_GBK" w:hAnsi="方正仿宋_GBK" w:eastAsia="方正仿宋_GBK"/>
          <w:lang w:val="en-US" w:eastAsia="zh-CN"/>
        </w:rPr>
        <w:t xml:space="preserve">            </w:t>
      </w:r>
      <w:r>
        <w:rPr>
          <w:rFonts w:hint="default" w:eastAsiaTheme="minorEastAsia"/>
          <w:lang w:val="en-US" w:eastAsia="zh-CN"/>
        </w:rPr>
        <w:drawing>
          <wp:inline distT="0" distB="0" distL="114300" distR="114300">
            <wp:extent cx="2147570" cy="2147570"/>
            <wp:effectExtent l="0" t="0" r="11430" b="11430"/>
            <wp:docPr id="25" name="图片 25" descr="容缺办理清单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容缺办理清单 (1)"/>
                    <pic:cNvPicPr>
                      <a:picLocks noChangeAspect="1"/>
                    </pic:cNvPicPr>
                  </pic:nvPicPr>
                  <pic:blipFill>
                    <a:blip r:embed="rId25"/>
                    <a:stretch>
                      <a:fillRect/>
                    </a:stretch>
                  </pic:blipFill>
                  <pic:spPr>
                    <a:xfrm>
                      <a:off x="0" y="0"/>
                      <a:ext cx="2147570" cy="2147570"/>
                    </a:xfrm>
                    <a:prstGeom prst="rect">
                      <a:avLst/>
                    </a:prstGeom>
                  </pic:spPr>
                </pic:pic>
              </a:graphicData>
            </a:graphic>
          </wp:inline>
        </w:drawing>
      </w:r>
    </w:p>
    <w:p>
      <w:pPr>
        <w:rPr>
          <w:rFonts w:hint="eastAsia"/>
        </w:rPr>
      </w:pPr>
    </w:p>
    <w:tbl>
      <w:tblPr>
        <w:tblStyle w:val="13"/>
        <w:tblpPr w:leftFromText="180" w:rightFromText="180" w:vertAnchor="text" w:horzAnchor="page" w:tblpX="1023" w:tblpY="56"/>
        <w:tblOverlap w:val="never"/>
        <w:tblW w:w="9654" w:type="dxa"/>
        <w:tblInd w:w="0" w:type="dxa"/>
        <w:tblLayout w:type="fixed"/>
        <w:tblCellMar>
          <w:top w:w="0" w:type="dxa"/>
          <w:left w:w="108" w:type="dxa"/>
          <w:bottom w:w="0" w:type="dxa"/>
          <w:right w:w="108" w:type="dxa"/>
        </w:tblCellMar>
      </w:tblPr>
      <w:tblGrid>
        <w:gridCol w:w="2063"/>
        <w:gridCol w:w="1846"/>
        <w:gridCol w:w="3195"/>
        <w:gridCol w:w="2550"/>
      </w:tblGrid>
      <w:tr>
        <w:tblPrEx>
          <w:tblCellMar>
            <w:top w:w="0" w:type="dxa"/>
            <w:left w:w="108" w:type="dxa"/>
            <w:bottom w:w="0" w:type="dxa"/>
            <w:right w:w="108" w:type="dxa"/>
          </w:tblCellMar>
        </w:tblPrEx>
        <w:trPr>
          <w:trHeight w:val="600" w:hRule="atLeast"/>
        </w:trPr>
        <w:tc>
          <w:tcPr>
            <w:tcW w:w="20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bookmarkStart w:id="106" w:name="_Toc128733567"/>
            <w:r>
              <w:rPr>
                <w:rFonts w:hint="eastAsia" w:ascii="方正仿宋_GBK" w:hAnsi="方正仿宋_GBK" w:eastAsia="方正仿宋_GBK" w:cs="宋体"/>
                <w:b/>
                <w:bCs/>
                <w:color w:val="000000"/>
                <w:kern w:val="0"/>
                <w:sz w:val="32"/>
                <w:szCs w:val="32"/>
              </w:rPr>
              <w:t>序号</w:t>
            </w:r>
          </w:p>
        </w:tc>
        <w:tc>
          <w:tcPr>
            <w:tcW w:w="18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业务事项</w:t>
            </w:r>
          </w:p>
        </w:tc>
        <w:tc>
          <w:tcPr>
            <w:tcW w:w="31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可容缺资料</w:t>
            </w:r>
          </w:p>
        </w:tc>
        <w:tc>
          <w:tcPr>
            <w:tcW w:w="255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方正仿宋_GBK" w:eastAsia="方正仿宋_GBK" w:cs="宋体"/>
                <w:b/>
                <w:bCs/>
                <w:color w:val="000000"/>
                <w:kern w:val="0"/>
                <w:sz w:val="32"/>
                <w:szCs w:val="32"/>
              </w:rPr>
            </w:pPr>
            <w:r>
              <w:rPr>
                <w:rFonts w:hint="eastAsia" w:ascii="方正仿宋_GBK" w:hAnsi="方正仿宋_GBK" w:eastAsia="方正仿宋_GBK" w:cs="宋体"/>
                <w:b/>
                <w:bCs/>
                <w:color w:val="000000"/>
                <w:kern w:val="0"/>
                <w:sz w:val="32"/>
                <w:szCs w:val="32"/>
              </w:rPr>
              <w:t>资料来源</w:t>
            </w:r>
          </w:p>
        </w:tc>
      </w:tr>
      <w:tr>
        <w:tblPrEx>
          <w:tblCellMar>
            <w:top w:w="0" w:type="dxa"/>
            <w:left w:w="108" w:type="dxa"/>
            <w:bottom w:w="0" w:type="dxa"/>
            <w:right w:w="108" w:type="dxa"/>
          </w:tblCellMar>
        </w:tblPrEx>
        <w:trPr>
          <w:trHeight w:val="600" w:hRule="atLeast"/>
        </w:trPr>
        <w:tc>
          <w:tcPr>
            <w:tcW w:w="20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宋体"/>
                <w:color w:val="000000"/>
                <w:kern w:val="0"/>
                <w:szCs w:val="21"/>
                <w:lang w:eastAsia="zh-CN"/>
              </w:rPr>
            </w:pPr>
            <w:r>
              <w:rPr>
                <w:rFonts w:hint="eastAsia" w:ascii="方正仿宋_GBK" w:hAnsi="方正仿宋_GBK" w:eastAsia="方正仿宋_GBK" w:cs="宋体"/>
                <w:color w:val="000000"/>
                <w:kern w:val="0"/>
                <w:szCs w:val="21"/>
                <w:lang w:val="en-US" w:eastAsia="zh-CN"/>
              </w:rPr>
              <w:t>1</w:t>
            </w:r>
          </w:p>
        </w:tc>
        <w:tc>
          <w:tcPr>
            <w:tcW w:w="1846"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车辆购置税申报</w:t>
            </w:r>
          </w:p>
        </w:tc>
        <w:tc>
          <w:tcPr>
            <w:tcW w:w="3195" w:type="dxa"/>
            <w:tcBorders>
              <w:top w:val="nil"/>
              <w:left w:val="nil"/>
              <w:bottom w:val="single" w:color="auto" w:sz="4" w:space="0"/>
              <w:right w:val="single" w:color="auto" w:sz="4" w:space="0"/>
            </w:tcBorders>
            <w:shd w:val="clear" w:color="auto" w:fill="auto"/>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《二手车销售统一发票》复印件</w:t>
            </w:r>
          </w:p>
        </w:tc>
        <w:tc>
          <w:tcPr>
            <w:tcW w:w="2550" w:type="dxa"/>
            <w:tcBorders>
              <w:top w:val="nil"/>
              <w:left w:val="nil"/>
              <w:bottom w:val="single" w:color="auto" w:sz="4" w:space="0"/>
              <w:right w:val="single" w:color="auto" w:sz="4" w:space="0"/>
            </w:tcBorders>
            <w:shd w:val="clear" w:color="auto" w:fill="auto"/>
            <w:noWrap/>
            <w:vAlign w:val="center"/>
          </w:tcPr>
          <w:p>
            <w:pPr>
              <w:widowControl/>
              <w:jc w:val="left"/>
              <w:rPr>
                <w:rFonts w:ascii="方正仿宋_GBK" w:hAnsi="方正仿宋_GBK" w:eastAsia="方正仿宋_GBK" w:cs="宋体"/>
                <w:color w:val="000000"/>
                <w:kern w:val="0"/>
                <w:szCs w:val="21"/>
              </w:rPr>
            </w:pPr>
            <w:r>
              <w:rPr>
                <w:rFonts w:hint="eastAsia" w:ascii="方正仿宋_GBK" w:hAnsi="方正仿宋_GBK" w:eastAsia="方正仿宋_GBK" w:cs="宋体"/>
                <w:color w:val="000000"/>
                <w:kern w:val="0"/>
                <w:szCs w:val="21"/>
              </w:rPr>
              <w:t>纳税人提供</w:t>
            </w:r>
          </w:p>
        </w:tc>
      </w:tr>
      <w:tr>
        <w:tblPrEx>
          <w:tblCellMar>
            <w:top w:w="0" w:type="dxa"/>
            <w:left w:w="108" w:type="dxa"/>
            <w:bottom w:w="0" w:type="dxa"/>
            <w:right w:w="108" w:type="dxa"/>
          </w:tblCellMar>
        </w:tblPrEx>
        <w:trPr>
          <w:trHeight w:val="600" w:hRule="atLeast"/>
        </w:trPr>
        <w:tc>
          <w:tcPr>
            <w:tcW w:w="965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仿宋_GBK" w:hAnsi="方正仿宋_GBK" w:eastAsia="方正仿宋_GBK" w:cs="宋体"/>
                <w:bCs/>
                <w:color w:val="000000"/>
                <w:kern w:val="0"/>
                <w:sz w:val="40"/>
                <w:szCs w:val="40"/>
              </w:rPr>
            </w:pPr>
            <w:r>
              <w:rPr>
                <w:rFonts w:hint="eastAsia" w:ascii="方正仿宋_GBK" w:hAnsi="方正仿宋_GBK" w:eastAsia="方正仿宋_GBK" w:cs="宋体"/>
                <w:bCs/>
                <w:color w:val="000000"/>
                <w:kern w:val="0"/>
                <w:sz w:val="40"/>
                <w:szCs w:val="40"/>
              </w:rPr>
              <w:t>补正期限：20个工作日</w:t>
            </w:r>
          </w:p>
        </w:tc>
      </w:tr>
    </w:tbl>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rPr>
          <w:rFonts w:hint="eastAsia" w:ascii="方正仿宋_GBK" w:hAnsi="方正仿宋_GBK" w:eastAsia="方正仿宋_GBK"/>
        </w:rPr>
      </w:pPr>
    </w:p>
    <w:p>
      <w:pPr>
        <w:pStyle w:val="3"/>
        <w:jc w:val="left"/>
        <w:outlineLvl w:val="0"/>
        <w:rPr>
          <w:rFonts w:ascii="方正仿宋_GBK" w:hAnsi="方正仿宋_GBK" w:eastAsia="方正仿宋_GBK"/>
          <w:sz w:val="48"/>
          <w:szCs w:val="48"/>
        </w:rPr>
      </w:pPr>
      <w:bookmarkStart w:id="107" w:name="_Toc23045"/>
      <w:r>
        <w:rPr>
          <w:rFonts w:hint="eastAsia" w:ascii="方正仿宋_GBK" w:hAnsi="方正仿宋_GBK" w:eastAsia="方正仿宋_GBK"/>
          <w:sz w:val="48"/>
          <w:szCs w:val="48"/>
        </w:rPr>
        <w:t>“</w:t>
      </w:r>
      <w:r>
        <w:rPr>
          <w:rFonts w:hint="eastAsia" w:ascii="方正仿宋_GBK" w:hAnsi="方正仿宋_GBK" w:eastAsia="方正仿宋_GBK"/>
          <w:sz w:val="44"/>
          <w:szCs w:val="44"/>
        </w:rPr>
        <w:t>首违不罚”事项清单</w:t>
      </w:r>
      <w:bookmarkEnd w:id="106"/>
      <w:bookmarkEnd w:id="107"/>
      <w:r>
        <w:rPr>
          <w:rFonts w:hint="eastAsia" w:ascii="方正仿宋_GBK" w:hAnsi="方正仿宋_GBK" w:eastAsia="方正仿宋_GBK"/>
          <w:sz w:val="44"/>
          <w:szCs w:val="44"/>
          <w:lang w:val="en-US" w:eastAsia="zh-CN"/>
        </w:rPr>
        <w:t xml:space="preserve">        </w:t>
      </w:r>
      <w:r>
        <w:rPr>
          <w:rFonts w:ascii="方正仿宋_GBK" w:hAnsi="方正仿宋_GBK" w:eastAsia="方正仿宋_GBK"/>
          <w:sz w:val="48"/>
          <w:szCs w:val="48"/>
        </w:rPr>
        <w:drawing>
          <wp:inline distT="0" distB="0" distL="114300" distR="114300">
            <wp:extent cx="2027555" cy="2027555"/>
            <wp:effectExtent l="0" t="0" r="4445" b="4445"/>
            <wp:docPr id="28" name="图片 28" descr="“首违不罚”事项清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首违不罚”事项清单"/>
                    <pic:cNvPicPr>
                      <a:picLocks noChangeAspect="1"/>
                    </pic:cNvPicPr>
                  </pic:nvPicPr>
                  <pic:blipFill>
                    <a:blip r:embed="rId26"/>
                    <a:stretch>
                      <a:fillRect/>
                    </a:stretch>
                  </pic:blipFill>
                  <pic:spPr>
                    <a:xfrm>
                      <a:off x="0" y="0"/>
                      <a:ext cx="2027555" cy="2027555"/>
                    </a:xfrm>
                    <a:prstGeom prst="rect">
                      <a:avLst/>
                    </a:prstGeom>
                  </pic:spPr>
                </pic:pic>
              </a:graphicData>
            </a:graphic>
          </wp:inline>
        </w:drawing>
      </w:r>
    </w:p>
    <w:p>
      <w:pPr>
        <w:pStyle w:val="12"/>
        <w:widowControl/>
        <w:ind w:firstLine="560" w:firstLineChars="200"/>
        <w:jc w:val="both"/>
        <w:rPr>
          <w:rFonts w:hint="default" w:ascii="方正仿宋_GBK" w:hAnsi="方正仿宋_GBK" w:eastAsia="方正仿宋_GBK"/>
          <w:snapToGrid w:val="0"/>
          <w:sz w:val="28"/>
          <w:szCs w:val="28"/>
        </w:rPr>
      </w:pPr>
    </w:p>
    <w:p>
      <w:pPr>
        <w:widowControl/>
        <w:shd w:val="clear" w:color="auto" w:fill="FFFFFF"/>
        <w:spacing w:after="150" w:line="450" w:lineRule="atLeast"/>
        <w:ind w:right="1000" w:rightChars="476" w:firstLine="420"/>
        <w:jc w:val="both"/>
        <w:rPr>
          <w:rFonts w:ascii="方正仿宋_GBK" w:hAnsi="方正仿宋_GBK" w:eastAsia="方正仿宋_GBK" w:cs="Times New Roman"/>
          <w:snapToGrid w:val="0"/>
          <w:kern w:val="0"/>
          <w:sz w:val="36"/>
          <w:szCs w:val="36"/>
        </w:rPr>
      </w:pPr>
      <w:r>
        <w:rPr>
          <w:rFonts w:hint="eastAsia" w:ascii="方正仿宋_GBK" w:hAnsi="方正仿宋_GBK" w:eastAsia="方正仿宋_GBK" w:cs="微软雅黑"/>
          <w:color w:val="333333"/>
          <w:kern w:val="0"/>
          <w:sz w:val="32"/>
          <w:szCs w:val="32"/>
          <w:shd w:val="clear" w:color="auto" w:fill="FFFFFF"/>
        </w:rPr>
        <w:t>对当事人首次发生清单中所列事项且危害后果</w:t>
      </w:r>
      <w:r>
        <w:rPr>
          <w:rFonts w:hint="eastAsia" w:ascii="方正仿宋_GBK" w:hAnsi="方正仿宋_GBK" w:eastAsia="方正仿宋_GBK" w:cs="微软雅黑"/>
          <w:color w:val="333333"/>
          <w:kern w:val="0"/>
          <w:sz w:val="32"/>
          <w:szCs w:val="32"/>
          <w:shd w:val="clear" w:color="auto" w:fill="FFFFFF"/>
          <w:lang w:eastAsia="zh-CN"/>
        </w:rPr>
        <w:t>，</w:t>
      </w:r>
      <w:r>
        <w:rPr>
          <w:rFonts w:hint="eastAsia" w:ascii="方正仿宋_GBK" w:hAnsi="方正仿宋_GBK" w:eastAsia="方正仿宋_GBK" w:cs="微软雅黑"/>
          <w:color w:val="333333"/>
          <w:kern w:val="0"/>
          <w:sz w:val="32"/>
          <w:szCs w:val="32"/>
          <w:shd w:val="clear" w:color="auto" w:fill="FFFFFF"/>
        </w:rPr>
        <w:t>轻微在税务机关发现前主动改正或者在税务机关责令限期改正的期限内改正的，不予行政处罚。</w:t>
      </w:r>
    </w:p>
    <w:tbl>
      <w:tblPr>
        <w:tblStyle w:val="13"/>
        <w:tblpPr w:leftFromText="180" w:rightFromText="180" w:vertAnchor="text" w:horzAnchor="page" w:tblpX="1312" w:tblpY="234"/>
        <w:tblOverlap w:val="never"/>
        <w:tblW w:w="8570" w:type="dxa"/>
        <w:tblInd w:w="0" w:type="dxa"/>
        <w:tblLayout w:type="fixed"/>
        <w:tblCellMar>
          <w:top w:w="0" w:type="dxa"/>
          <w:left w:w="108" w:type="dxa"/>
          <w:bottom w:w="0" w:type="dxa"/>
          <w:right w:w="108" w:type="dxa"/>
        </w:tblCellMar>
      </w:tblPr>
      <w:tblGrid>
        <w:gridCol w:w="864"/>
        <w:gridCol w:w="7706"/>
      </w:tblGrid>
      <w:tr>
        <w:tblPrEx>
          <w:tblCellMar>
            <w:top w:w="0" w:type="dxa"/>
            <w:left w:w="108" w:type="dxa"/>
            <w:bottom w:w="0" w:type="dxa"/>
            <w:right w:w="108" w:type="dxa"/>
          </w:tblCellMar>
        </w:tblPrEx>
        <w:trPr>
          <w:cantSplit/>
          <w:trHeight w:val="510" w:hRule="atLeast"/>
          <w:tblHeader/>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kern w:val="0"/>
                <w:sz w:val="24"/>
                <w:szCs w:val="24"/>
              </w:rPr>
              <w:t>序号</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ascii="方正仿宋_GBK" w:hAnsi="方正仿宋_GBK" w:eastAsia="方正仿宋_GBK" w:cs="仿宋"/>
                <w:b/>
                <w:bCs/>
                <w:color w:val="000000"/>
                <w:kern w:val="0"/>
                <w:sz w:val="24"/>
                <w:szCs w:val="24"/>
              </w:rPr>
            </w:pPr>
            <w:r>
              <w:rPr>
                <w:rFonts w:hint="eastAsia" w:ascii="方正仿宋_GBK" w:hAnsi="方正仿宋_GBK" w:eastAsia="方正仿宋_GBK" w:cs="仿宋"/>
                <w:color w:val="000000"/>
                <w:sz w:val="24"/>
                <w:szCs w:val="24"/>
              </w:rPr>
              <w:t>事项名称</w:t>
            </w:r>
          </w:p>
        </w:tc>
      </w:tr>
      <w:tr>
        <w:tblPrEx>
          <w:tblCellMar>
            <w:top w:w="0" w:type="dxa"/>
            <w:left w:w="108" w:type="dxa"/>
            <w:bottom w:w="0" w:type="dxa"/>
            <w:right w:w="108" w:type="dxa"/>
          </w:tblCellMar>
        </w:tblPrEx>
        <w:trPr>
          <w:trHeight w:val="830" w:hRule="atLeast"/>
        </w:trPr>
        <w:tc>
          <w:tcPr>
            <w:tcW w:w="864" w:type="dxa"/>
            <w:tcBorders>
              <w:top w:val="single" w:color="auto" w:sz="4" w:space="0"/>
              <w:left w:val="single" w:color="auto" w:sz="4" w:space="0"/>
              <w:bottom w:val="single" w:color="auto" w:sz="4" w:space="0"/>
              <w:right w:val="single" w:color="auto" w:sz="4" w:space="0"/>
            </w:tcBorders>
            <w:vAlign w:val="center"/>
          </w:tcPr>
          <w:p>
            <w:pPr>
              <w:widowControl/>
              <w:spacing w:line="380" w:lineRule="exact"/>
              <w:jc w:val="center"/>
              <w:rPr>
                <w:rFonts w:hint="eastAsia" w:ascii="方正仿宋_GBK" w:hAnsi="方正仿宋_GBK" w:eastAsia="方正仿宋_GBK" w:cs="仿宋"/>
                <w:color w:val="000000"/>
                <w:kern w:val="0"/>
                <w:sz w:val="24"/>
                <w:szCs w:val="24"/>
                <w:lang w:eastAsia="zh-CN"/>
              </w:rPr>
            </w:pPr>
            <w:r>
              <w:rPr>
                <w:rFonts w:hint="eastAsia" w:ascii="方正仿宋_GBK" w:hAnsi="方正仿宋_GBK" w:eastAsia="方正仿宋_GBK" w:cs="仿宋"/>
                <w:color w:val="000000"/>
                <w:kern w:val="0"/>
                <w:sz w:val="24"/>
                <w:szCs w:val="24"/>
                <w:lang w:val="en-US" w:eastAsia="zh-CN"/>
              </w:rPr>
              <w:t>1</w:t>
            </w:r>
          </w:p>
        </w:tc>
        <w:tc>
          <w:tcPr>
            <w:tcW w:w="7706" w:type="dxa"/>
            <w:tcBorders>
              <w:top w:val="single" w:color="auto" w:sz="4" w:space="0"/>
              <w:left w:val="single" w:color="auto" w:sz="4" w:space="0"/>
              <w:bottom w:val="single" w:color="auto" w:sz="4" w:space="0"/>
              <w:right w:val="single" w:color="auto" w:sz="4" w:space="0"/>
            </w:tcBorders>
            <w:vAlign w:val="center"/>
          </w:tcPr>
          <w:p>
            <w:pPr>
              <w:widowControl/>
              <w:spacing w:line="380" w:lineRule="exact"/>
              <w:rPr>
                <w:rFonts w:ascii="方正仿宋_GBK" w:hAnsi="方正仿宋_GBK" w:eastAsia="方正仿宋_GBK" w:cs="仿宋"/>
                <w:color w:val="000000"/>
                <w:kern w:val="0"/>
                <w:sz w:val="24"/>
                <w:szCs w:val="24"/>
              </w:rPr>
            </w:pPr>
            <w:r>
              <w:rPr>
                <w:rFonts w:hint="eastAsia" w:ascii="方正仿宋_GBK" w:hAnsi="方正仿宋_GBK" w:eastAsia="方正仿宋_GBK" w:cs="仿宋"/>
                <w:color w:val="000000"/>
                <w:kern w:val="0"/>
                <w:sz w:val="24"/>
                <w:szCs w:val="24"/>
              </w:rPr>
              <w:t>纳税人未按照税收征收管理法及实施细则等有关规定的期限办理纳税申报和报送纳税资料</w:t>
            </w:r>
          </w:p>
        </w:tc>
      </w:tr>
    </w:tbl>
    <w:p>
      <w:pPr>
        <w:rPr>
          <w:rFonts w:ascii="方正仿宋_GBK" w:hAnsi="方正仿宋_GBK" w:eastAsia="方正仿宋_GBK" w:cs="Times New Roman"/>
        </w:rPr>
      </w:pPr>
    </w:p>
    <w:p>
      <w:pPr>
        <w:ind w:left="1260" w:leftChars="0" w:hanging="1260" w:hangingChars="600"/>
        <w:jc w:val="center"/>
        <w:rPr>
          <w:rFonts w:ascii="方正仿宋_GBK" w:hAnsi="方正仿宋_GBK" w:eastAsia="方正仿宋_GBK"/>
        </w:rPr>
      </w:pPr>
    </w:p>
    <w:sectPr>
      <w:footerReference r:id="rId5" w:type="default"/>
      <w:pgSz w:w="11906" w:h="16838"/>
      <w:pgMar w:top="720" w:right="833" w:bottom="720" w:left="8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0A4F28-8AC8-4912-B019-0E9730BAA33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8C53C37-B9C9-4E97-B887-14C1C92BCE4B}"/>
  </w:font>
  <w:font w:name="等线">
    <w:panose1 w:val="02010600030101010101"/>
    <w:charset w:val="86"/>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方正仿宋_GBK">
    <w:altName w:val="微软雅黑"/>
    <w:panose1 w:val="03000509000000000000"/>
    <w:charset w:val="86"/>
    <w:family w:val="script"/>
    <w:pitch w:val="default"/>
    <w:sig w:usb0="00000000" w:usb1="00000000" w:usb2="00000010" w:usb3="00000000" w:csb0="00040000" w:csb1="00000000"/>
    <w:embedRegular r:id="rId3" w:fontKey="{E81543AA-2A6E-4701-BEEF-8EC055C202EA}"/>
  </w:font>
  <w:font w:name="方正公文小标宋">
    <w:panose1 w:val="02000500000000000000"/>
    <w:charset w:val="86"/>
    <w:family w:val="auto"/>
    <w:pitch w:val="default"/>
    <w:sig w:usb0="00000000" w:usb1="00000000" w:usb2="00000000" w:usb3="00000000" w:csb0="00000000" w:csb1="00000000"/>
    <w:embedRegular r:id="rId4" w:fontKey="{EA825C83-8E7B-4B05-84EF-AB63D3CEB0C1}"/>
  </w:font>
  <w:font w:name="微软雅黑">
    <w:panose1 w:val="020B0503020204020204"/>
    <w:charset w:val="86"/>
    <w:family w:val="swiss"/>
    <w:pitch w:val="default"/>
    <w:sig w:usb0="80000287" w:usb1="280F3C52" w:usb2="00000016" w:usb3="00000000" w:csb0="0004001F" w:csb1="00000000"/>
    <w:embedRegular r:id="rId5" w:fontKey="{DBFF21E8-CFD3-4761-9690-ED2293BF2645}"/>
  </w:font>
  <w:font w:name="仿宋">
    <w:panose1 w:val="02010609060101010101"/>
    <w:charset w:val="86"/>
    <w:family w:val="modern"/>
    <w:pitch w:val="default"/>
    <w:sig w:usb0="800002BF" w:usb1="38CF7CFA" w:usb2="00000016" w:usb3="00000000" w:csb0="00040001" w:csb1="00000000"/>
    <w:embedRegular r:id="rId6" w:fontKey="{FA714638-70AB-409A-88B8-CD856641643A}"/>
  </w:font>
  <w:font w:name="等线">
    <w:panose1 w:val="02010600030101010101"/>
    <w:charset w:val="00"/>
    <w:family w:val="auto"/>
    <w:pitch w:val="default"/>
    <w:sig w:usb0="00000000" w:usb1="00000000" w:usb2="00000000" w:usb3="00000000" w:csb0="00000000" w:csb1="00000000"/>
    <w:embedRegular r:id="rId7" w:fontKey="{1EF95EF8-98FE-452A-9F8C-8C88FE1049C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w:t>
                    </w:r>
                    <w:r>
                      <w:fldChar w:fldCharType="end"/>
                    </w:r>
                  </w:p>
                </w:txbxContent>
              </v:textbox>
            </v:shape>
          </w:pict>
        </mc:Fallback>
      </mc:AlternateContent>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wODIxYzZhMDcxMTM3ODc4YjJmMzcwYzk4NjRiMDUifQ=="/>
    <w:docVar w:name="KSO_WPS_MARK_KEY" w:val="60529281-80fc-45a1-a955-9533ab1dc8f8"/>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6528F"/>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362320B"/>
    <w:rsid w:val="03647823"/>
    <w:rsid w:val="04671F17"/>
    <w:rsid w:val="04E452F2"/>
    <w:rsid w:val="04E95D3B"/>
    <w:rsid w:val="050854D7"/>
    <w:rsid w:val="05B95CCF"/>
    <w:rsid w:val="073562D9"/>
    <w:rsid w:val="07591DD0"/>
    <w:rsid w:val="08CE7F20"/>
    <w:rsid w:val="08FF0187"/>
    <w:rsid w:val="094D08A9"/>
    <w:rsid w:val="0B754E1B"/>
    <w:rsid w:val="0BD54A82"/>
    <w:rsid w:val="0C4765DA"/>
    <w:rsid w:val="0D775A76"/>
    <w:rsid w:val="0D880D2D"/>
    <w:rsid w:val="0DE76463"/>
    <w:rsid w:val="0FCB3DF0"/>
    <w:rsid w:val="101F4C3F"/>
    <w:rsid w:val="102723E9"/>
    <w:rsid w:val="103C35A7"/>
    <w:rsid w:val="10C0073C"/>
    <w:rsid w:val="10E420E0"/>
    <w:rsid w:val="117F6D6E"/>
    <w:rsid w:val="11CB31BA"/>
    <w:rsid w:val="11D268C7"/>
    <w:rsid w:val="123C676E"/>
    <w:rsid w:val="136B7719"/>
    <w:rsid w:val="143E229A"/>
    <w:rsid w:val="147E12BF"/>
    <w:rsid w:val="14BE69CE"/>
    <w:rsid w:val="150C0679"/>
    <w:rsid w:val="17FD3C06"/>
    <w:rsid w:val="18DB493A"/>
    <w:rsid w:val="1A192BFB"/>
    <w:rsid w:val="1B0A7AA8"/>
    <w:rsid w:val="1B67720F"/>
    <w:rsid w:val="1BB630ED"/>
    <w:rsid w:val="1E47660D"/>
    <w:rsid w:val="1ECC77CA"/>
    <w:rsid w:val="20256F62"/>
    <w:rsid w:val="20363689"/>
    <w:rsid w:val="20AF50AD"/>
    <w:rsid w:val="20CA3258"/>
    <w:rsid w:val="22F06EF4"/>
    <w:rsid w:val="22F92EA7"/>
    <w:rsid w:val="246062EC"/>
    <w:rsid w:val="24760E27"/>
    <w:rsid w:val="24B30B11"/>
    <w:rsid w:val="24B44889"/>
    <w:rsid w:val="24F034BC"/>
    <w:rsid w:val="25D50C42"/>
    <w:rsid w:val="270A60D9"/>
    <w:rsid w:val="277C022D"/>
    <w:rsid w:val="2947292F"/>
    <w:rsid w:val="2B1B2F6C"/>
    <w:rsid w:val="2C624BCB"/>
    <w:rsid w:val="2D493A8A"/>
    <w:rsid w:val="2EE12E45"/>
    <w:rsid w:val="2EF869AE"/>
    <w:rsid w:val="2F554F44"/>
    <w:rsid w:val="2FFF78FF"/>
    <w:rsid w:val="30A57076"/>
    <w:rsid w:val="31821FA8"/>
    <w:rsid w:val="34053E6A"/>
    <w:rsid w:val="342B03F1"/>
    <w:rsid w:val="34A22009"/>
    <w:rsid w:val="34E87D5F"/>
    <w:rsid w:val="388F5EFE"/>
    <w:rsid w:val="38D11920"/>
    <w:rsid w:val="38ED03A5"/>
    <w:rsid w:val="39C2597B"/>
    <w:rsid w:val="39FC1D6A"/>
    <w:rsid w:val="3A130B78"/>
    <w:rsid w:val="3A571AE7"/>
    <w:rsid w:val="3C20643D"/>
    <w:rsid w:val="3E350208"/>
    <w:rsid w:val="3E45074A"/>
    <w:rsid w:val="3E4668D1"/>
    <w:rsid w:val="3F372510"/>
    <w:rsid w:val="40A278BB"/>
    <w:rsid w:val="40B2127D"/>
    <w:rsid w:val="40E177A8"/>
    <w:rsid w:val="4111774B"/>
    <w:rsid w:val="41E80555"/>
    <w:rsid w:val="42F14D08"/>
    <w:rsid w:val="437444CF"/>
    <w:rsid w:val="437D4D20"/>
    <w:rsid w:val="43C817F2"/>
    <w:rsid w:val="43DB7698"/>
    <w:rsid w:val="44617BA5"/>
    <w:rsid w:val="448939E8"/>
    <w:rsid w:val="449C3228"/>
    <w:rsid w:val="47022DDB"/>
    <w:rsid w:val="47AE7594"/>
    <w:rsid w:val="48917B4E"/>
    <w:rsid w:val="48E91650"/>
    <w:rsid w:val="4978751A"/>
    <w:rsid w:val="4A2A68D0"/>
    <w:rsid w:val="4A2D016F"/>
    <w:rsid w:val="4AF60DF4"/>
    <w:rsid w:val="4BE31B58"/>
    <w:rsid w:val="4C547E39"/>
    <w:rsid w:val="4E95682B"/>
    <w:rsid w:val="4FCF3C52"/>
    <w:rsid w:val="50176B85"/>
    <w:rsid w:val="513D6CD2"/>
    <w:rsid w:val="51BB3BB6"/>
    <w:rsid w:val="533A52E4"/>
    <w:rsid w:val="536D4F1D"/>
    <w:rsid w:val="537E7F70"/>
    <w:rsid w:val="53910704"/>
    <w:rsid w:val="540220C5"/>
    <w:rsid w:val="54B70A92"/>
    <w:rsid w:val="54CD3C6B"/>
    <w:rsid w:val="56310FE7"/>
    <w:rsid w:val="56D05B1A"/>
    <w:rsid w:val="57EC70F2"/>
    <w:rsid w:val="596D3C63"/>
    <w:rsid w:val="597162CA"/>
    <w:rsid w:val="5B5F0153"/>
    <w:rsid w:val="5CE05FAA"/>
    <w:rsid w:val="5E545E0F"/>
    <w:rsid w:val="5E585086"/>
    <w:rsid w:val="60833FAB"/>
    <w:rsid w:val="612844D6"/>
    <w:rsid w:val="61405F8F"/>
    <w:rsid w:val="633F78C0"/>
    <w:rsid w:val="63AE51E7"/>
    <w:rsid w:val="63BD3EBA"/>
    <w:rsid w:val="654B2514"/>
    <w:rsid w:val="66833198"/>
    <w:rsid w:val="677C0512"/>
    <w:rsid w:val="69340423"/>
    <w:rsid w:val="694C2CB6"/>
    <w:rsid w:val="696C1775"/>
    <w:rsid w:val="698E246A"/>
    <w:rsid w:val="6AC06BD5"/>
    <w:rsid w:val="6B783FE3"/>
    <w:rsid w:val="6BEA5A68"/>
    <w:rsid w:val="6C532E82"/>
    <w:rsid w:val="6C572830"/>
    <w:rsid w:val="6CD37D66"/>
    <w:rsid w:val="6EF07839"/>
    <w:rsid w:val="71571ECE"/>
    <w:rsid w:val="73410C43"/>
    <w:rsid w:val="73512CCA"/>
    <w:rsid w:val="73753A21"/>
    <w:rsid w:val="745F49AD"/>
    <w:rsid w:val="766A09A2"/>
    <w:rsid w:val="775E71FE"/>
    <w:rsid w:val="77CF1415"/>
    <w:rsid w:val="78C65E9B"/>
    <w:rsid w:val="797E2D7D"/>
    <w:rsid w:val="79A36E39"/>
    <w:rsid w:val="7A694CF1"/>
    <w:rsid w:val="7A69729B"/>
    <w:rsid w:val="7AA95B54"/>
    <w:rsid w:val="7ABC51E6"/>
    <w:rsid w:val="7B8562F7"/>
    <w:rsid w:val="7B91616E"/>
    <w:rsid w:val="7E5C0A47"/>
    <w:rsid w:val="7E9364C7"/>
    <w:rsid w:val="7F591AAC"/>
    <w:rsid w:val="7FB43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1"/>
    <w:pPr>
      <w:spacing w:after="120"/>
    </w:pPr>
    <w:rPr>
      <w:rFonts w:ascii="Calibri" w:hAnsi="Calibri" w:eastAsia="宋体" w:cs="Times New Roman"/>
      <w:kern w:val="0"/>
    </w:rPr>
  </w:style>
  <w:style w:type="paragraph" w:styleId="6">
    <w:name w:val="toc 3"/>
    <w:basedOn w:val="1"/>
    <w:next w:val="1"/>
    <w:unhideWhenUsed/>
    <w:qFormat/>
    <w:uiPriority w:val="39"/>
    <w:pPr>
      <w:ind w:left="840" w:leftChars="400"/>
    </w:pPr>
  </w:style>
  <w:style w:type="paragraph" w:styleId="7">
    <w:name w:val="Balloon Text"/>
    <w:basedOn w:val="1"/>
    <w:link w:val="43"/>
    <w:semiHidden/>
    <w:unhideWhenUsed/>
    <w:qFormat/>
    <w:uiPriority w:val="99"/>
    <w:rPr>
      <w:sz w:val="18"/>
      <w:szCs w:val="18"/>
    </w:rPr>
  </w:style>
  <w:style w:type="paragraph" w:styleId="8">
    <w:name w:val="footer"/>
    <w:basedOn w:val="1"/>
    <w:link w:val="23"/>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39"/>
    <w:rPr>
      <w:rFonts w:ascii="Calibri" w:hAnsi="Calibri" w:eastAsia="宋体" w:cs="Times New Roman"/>
      <w:kern w:val="0"/>
    </w:rPr>
  </w:style>
  <w:style w:type="paragraph" w:styleId="11">
    <w:name w:val="toc 2"/>
    <w:basedOn w:val="1"/>
    <w:next w:val="1"/>
    <w:qFormat/>
    <w:uiPriority w:val="39"/>
    <w:pPr>
      <w:ind w:left="420" w:leftChars="200"/>
    </w:pPr>
    <w:rPr>
      <w:rFonts w:ascii="Calibri" w:hAnsi="Calibri" w:eastAsia="宋体" w:cs="Times New Roman"/>
      <w:kern w:val="0"/>
    </w:rPr>
  </w:style>
  <w:style w:type="paragraph" w:styleId="12">
    <w:name w:val="HTML Preformatted"/>
    <w:basedOn w:val="1"/>
    <w:link w:val="4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99"/>
    <w:rPr>
      <w:color w:val="954F72"/>
      <w:u w:val="single"/>
    </w:rPr>
  </w:style>
  <w:style w:type="character" w:styleId="17">
    <w:name w:val="Hyperlink"/>
    <w:basedOn w:val="15"/>
    <w:qFormat/>
    <w:uiPriority w:val="99"/>
    <w:rPr>
      <w:color w:val="0000FF"/>
      <w:u w:val="single"/>
    </w:rPr>
  </w:style>
  <w:style w:type="paragraph" w:customStyle="1" w:styleId="18">
    <w:name w:val="税务论文 摘要标题"/>
    <w:basedOn w:val="1"/>
    <w:link w:val="19"/>
    <w:qFormat/>
    <w:uiPriority w:val="0"/>
    <w:pPr>
      <w:spacing w:line="360" w:lineRule="auto"/>
      <w:ind w:firstLine="562" w:firstLineChars="200"/>
    </w:pPr>
    <w:rPr>
      <w:rFonts w:cs="Times New Roman" w:asciiTheme="minorEastAsia" w:hAnsiTheme="minorEastAsia"/>
      <w:b/>
      <w:bCs/>
      <w:sz w:val="28"/>
      <w:szCs w:val="28"/>
    </w:rPr>
  </w:style>
  <w:style w:type="character" w:customStyle="1" w:styleId="19">
    <w:name w:val="税务论文 摘要标题 字符"/>
    <w:basedOn w:val="15"/>
    <w:link w:val="18"/>
    <w:qFormat/>
    <w:uiPriority w:val="0"/>
    <w:rPr>
      <w:rFonts w:cs="Times New Roman" w:asciiTheme="minorEastAsia" w:hAnsiTheme="minorEastAsia"/>
      <w:b/>
      <w:bCs/>
      <w:sz w:val="28"/>
      <w:szCs w:val="28"/>
    </w:rPr>
  </w:style>
  <w:style w:type="character" w:customStyle="1" w:styleId="20">
    <w:name w:val="标题 1 Char"/>
    <w:basedOn w:val="15"/>
    <w:link w:val="2"/>
    <w:qFormat/>
    <w:uiPriority w:val="9"/>
    <w:rPr>
      <w:b/>
      <w:bCs/>
      <w:kern w:val="44"/>
      <w:sz w:val="44"/>
      <w:szCs w:val="44"/>
    </w:rPr>
  </w:style>
  <w:style w:type="character" w:customStyle="1" w:styleId="21">
    <w:name w:val="标题 2 Char"/>
    <w:basedOn w:val="15"/>
    <w:link w:val="3"/>
    <w:qFormat/>
    <w:uiPriority w:val="0"/>
    <w:rPr>
      <w:rFonts w:ascii="Cambria" w:hAnsi="Cambria" w:eastAsia="宋体" w:cs="Times New Roman"/>
      <w:b/>
      <w:bCs/>
      <w:kern w:val="0"/>
      <w:sz w:val="32"/>
      <w:szCs w:val="32"/>
    </w:rPr>
  </w:style>
  <w:style w:type="character" w:customStyle="1" w:styleId="22">
    <w:name w:val="正文文本 Char"/>
    <w:basedOn w:val="15"/>
    <w:link w:val="5"/>
    <w:qFormat/>
    <w:uiPriority w:val="1"/>
    <w:rPr>
      <w:rFonts w:ascii="Calibri" w:hAnsi="Calibri" w:eastAsia="宋体" w:cs="Times New Roman"/>
      <w:kern w:val="0"/>
    </w:rPr>
  </w:style>
  <w:style w:type="character" w:customStyle="1" w:styleId="23">
    <w:name w:val="页脚 Char"/>
    <w:basedOn w:val="15"/>
    <w:link w:val="8"/>
    <w:qFormat/>
    <w:uiPriority w:val="0"/>
    <w:rPr>
      <w:rFonts w:ascii="Calibri" w:hAnsi="Calibri" w:eastAsia="宋体" w:cs="Times New Roman"/>
      <w:kern w:val="0"/>
      <w:sz w:val="18"/>
    </w:rPr>
  </w:style>
  <w:style w:type="character" w:customStyle="1" w:styleId="24">
    <w:name w:val="页眉 Char"/>
    <w:basedOn w:val="15"/>
    <w:link w:val="9"/>
    <w:qFormat/>
    <w:uiPriority w:val="0"/>
    <w:rPr>
      <w:rFonts w:ascii="Calibri" w:hAnsi="Calibri" w:eastAsia="宋体" w:cs="Times New Roman"/>
      <w:kern w:val="0"/>
      <w:sz w:val="18"/>
    </w:rPr>
  </w:style>
  <w:style w:type="character" w:customStyle="1" w:styleId="25">
    <w:name w:val="标题 3 Char"/>
    <w:basedOn w:val="15"/>
    <w:link w:val="4"/>
    <w:qFormat/>
    <w:uiPriority w:val="9"/>
    <w:rPr>
      <w:b/>
      <w:bCs/>
      <w:sz w:val="32"/>
      <w:szCs w:val="32"/>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29">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5"/>
    <w:basedOn w:val="1"/>
    <w:qFormat/>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6"/>
    <w:basedOn w:val="1"/>
    <w:qFormat/>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2">
    <w:name w:val="xl67"/>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3">
    <w:name w:val="xl68"/>
    <w:basedOn w:val="1"/>
    <w:qFormat/>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9"/>
    <w:basedOn w:val="1"/>
    <w:qFormat/>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5">
    <w:name w:val="xl70"/>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1"/>
    <w:basedOn w:val="1"/>
    <w:qFormat/>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2"/>
    <w:basedOn w:val="1"/>
    <w:qFormat/>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3"/>
    <w:basedOn w:val="1"/>
    <w:qFormat/>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4"/>
    <w:basedOn w:val="1"/>
    <w:qFormat/>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0">
    <w:name w:val="xl75"/>
    <w:basedOn w:val="1"/>
    <w:qFormat/>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1">
    <w:name w:val="xl76"/>
    <w:basedOn w:val="1"/>
    <w:qFormat/>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2">
    <w:name w:val="HTML 预设格式 Char"/>
    <w:basedOn w:val="15"/>
    <w:link w:val="12"/>
    <w:qFormat/>
    <w:uiPriority w:val="0"/>
    <w:rPr>
      <w:rFonts w:ascii="宋体" w:hAnsi="宋体" w:eastAsia="宋体" w:cs="Times New Roman"/>
      <w:kern w:val="0"/>
      <w:sz w:val="24"/>
      <w:szCs w:val="24"/>
    </w:rPr>
  </w:style>
  <w:style w:type="character" w:customStyle="1" w:styleId="43">
    <w:name w:val="批注框文本 Char"/>
    <w:basedOn w:val="15"/>
    <w:link w:val="7"/>
    <w:semiHidden/>
    <w:qFormat/>
    <w:uiPriority w:val="99"/>
    <w:rPr>
      <w:kern w:val="2"/>
      <w:sz w:val="18"/>
      <w:szCs w:val="18"/>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extobjs>
    <extobj name="F35B0BEE-F18A-47BB-8FCB-E00DA2F2635D-1">
      <extobjdata type="F35B0BEE-F18A-47BB-8FCB-E00DA2F2635D" data="ewoJIkRlc2lnbklkIiA6ICJhZDM3NjBiYi1kNmRiLTQ4YzYtODM5Ni1iYzNmOWVkNWY0ZDMiCn0K"/>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310AE-D0F8-478D-AFEC-80CA163B6BA9}">
  <ds:schemaRefs/>
</ds:datastoreItem>
</file>

<file path=docProps/app.xml><?xml version="1.0" encoding="utf-8"?>
<Properties xmlns="http://schemas.openxmlformats.org/officeDocument/2006/extended-properties" xmlns:vt="http://schemas.openxmlformats.org/officeDocument/2006/docPropsVTypes">
  <Template>Normal</Template>
  <Pages>15</Pages>
  <Words>2576</Words>
  <Characters>2847</Characters>
  <Lines>181</Lines>
  <Paragraphs>51</Paragraphs>
  <TotalTime>0</TotalTime>
  <ScaleCrop>false</ScaleCrop>
  <LinksUpToDate>false</LinksUpToDate>
  <CharactersWithSpaces>3307</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2023-03-16T08:28:00Z</dcterms:created>
  <dc:creator>王 子义</dc:creator>
  <cp:lastModifiedBy>田华</cp:lastModifiedBy>
  <cp:lastPrinted>2023-03-07T10:51:00Z</cp:lastPrinted>
  <dcterms:modified xsi:type="dcterms:W3CDTF">2023-03-20T02:51:54Z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266DE1A3F882464F96B26B12BB8752DA</vt:lpwstr>
  </property>
</Properties>
</file>