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楷体" w:hAnsi="楷体" w:eastAsia="楷体" w:cs="楷体"/>
          <w:b/>
          <w:color w:val="000000"/>
          <w:kern w:val="0"/>
          <w:sz w:val="44"/>
          <w:szCs w:val="44"/>
          <w:lang w:bidi="ar"/>
        </w:rPr>
      </w:pPr>
      <w:r>
        <w:rPr>
          <w:rFonts w:hint="eastAsia" w:ascii="楷体" w:hAnsi="楷体" w:eastAsia="楷体" w:cs="楷体"/>
          <w:b/>
          <w:color w:val="000000"/>
          <w:kern w:val="0"/>
          <w:sz w:val="44"/>
          <w:szCs w:val="44"/>
          <w:lang w:bidi="ar"/>
        </w:rPr>
        <w:t>业务操作指引（</w:t>
      </w:r>
      <w:r>
        <w:rPr>
          <w:rFonts w:hint="eastAsia" w:ascii="楷体" w:hAnsi="楷体" w:eastAsia="楷体" w:cs="楷体"/>
          <w:b/>
          <w:color w:val="000000"/>
          <w:kern w:val="0"/>
          <w:sz w:val="44"/>
          <w:szCs w:val="44"/>
          <w:lang w:eastAsia="zh-CN" w:bidi="ar"/>
        </w:rPr>
        <w:t>辽宁</w:t>
      </w:r>
      <w:r>
        <w:rPr>
          <w:rFonts w:hint="eastAsia" w:ascii="楷体" w:hAnsi="楷体" w:eastAsia="楷体" w:cs="楷体"/>
          <w:b/>
          <w:color w:val="000000"/>
          <w:kern w:val="0"/>
          <w:sz w:val="44"/>
          <w:szCs w:val="44"/>
          <w:lang w:bidi="ar"/>
        </w:rPr>
        <w:t>试点版)</w:t>
      </w:r>
    </w:p>
    <w:p>
      <w:pPr>
        <w:jc w:val="center"/>
        <w:rPr>
          <w:rFonts w:hint="eastAsia" w:ascii="楷体" w:hAnsi="楷体" w:eastAsia="楷体" w:cs="楷体"/>
          <w:b/>
          <w:color w:val="000000"/>
          <w:kern w:val="0"/>
          <w:sz w:val="44"/>
          <w:szCs w:val="44"/>
          <w:lang w:bidi="ar"/>
        </w:rPr>
      </w:pPr>
      <w:r>
        <w:rPr>
          <w:rFonts w:hint="eastAsia" w:ascii="楷体" w:hAnsi="楷体" w:eastAsia="楷体" w:cs="楷体"/>
          <w:b/>
          <w:color w:val="000000"/>
          <w:kern w:val="0"/>
          <w:sz w:val="44"/>
          <w:szCs w:val="44"/>
          <w:lang w:bidi="ar"/>
        </w:rPr>
        <w:t>100</w:t>
      </w:r>
      <w:r>
        <w:rPr>
          <w:rFonts w:hint="default" w:ascii="楷体" w:hAnsi="楷体" w:eastAsia="楷体" w:cs="楷体"/>
          <w:b/>
          <w:color w:val="000000"/>
          <w:kern w:val="0"/>
          <w:sz w:val="44"/>
          <w:szCs w:val="44"/>
          <w:lang w:bidi="ar"/>
        </w:rPr>
        <w:t>23</w:t>
      </w:r>
      <w:r>
        <w:rPr>
          <w:rFonts w:hint="eastAsia" w:ascii="楷体" w:hAnsi="楷体" w:eastAsia="楷体" w:cs="楷体"/>
          <w:b/>
          <w:color w:val="000000"/>
          <w:kern w:val="0"/>
          <w:sz w:val="44"/>
          <w:szCs w:val="44"/>
          <w:lang w:bidi="ar"/>
        </w:rPr>
        <w:t>纳税人放弃增值税免（减）税权声明</w:t>
      </w:r>
    </w:p>
    <w:p>
      <w:pPr>
        <w:pStyle w:val="3"/>
        <w:numPr>
          <w:ilvl w:val="0"/>
          <w:numId w:val="1"/>
        </w:numPr>
        <w:ind w:left="-13" w:leftChars="0" w:firstLine="643" w:firstLineChars="0"/>
        <w:outlineLvl w:val="0"/>
        <w:rPr>
          <w:rFonts w:hint="eastAsia" w:ascii="黑体" w:hAnsi="黑体" w:eastAsia="黑体" w:cs="黑体"/>
          <w:sz w:val="32"/>
          <w:szCs w:val="32"/>
        </w:rPr>
      </w:pPr>
      <w:bookmarkStart w:id="0" w:name="_Toc21919"/>
      <w:bookmarkStart w:id="1" w:name="_Toc21020"/>
      <w:r>
        <w:rPr>
          <w:rFonts w:hint="eastAsia" w:ascii="黑体" w:hAnsi="黑体" w:eastAsia="黑体" w:cs="黑体"/>
          <w:sz w:val="32"/>
          <w:szCs w:val="32"/>
        </w:rPr>
        <w:t>业务概述</w:t>
      </w:r>
      <w:bookmarkEnd w:id="0"/>
      <w:bookmarkEnd w:id="1"/>
      <w:r>
        <w:rPr>
          <w:rFonts w:hint="eastAsia" w:ascii="黑体" w:hAnsi="黑体" w:eastAsia="黑体" w:cs="黑体"/>
          <w:sz w:val="32"/>
          <w:szCs w:val="32"/>
        </w:rPr>
        <w:t xml:space="preserve"> </w:t>
      </w:r>
    </w:p>
    <w:p>
      <w:pPr>
        <w:pStyle w:val="5"/>
        <w:ind w:firstLine="640" w:firstLineChars="200"/>
        <w:rPr>
          <w:rFonts w:hint="eastAsia" w:ascii="华文仿宋" w:hAnsi="华文仿宋" w:eastAsia="华文仿宋" w:cs="华文仿宋"/>
          <w:kern w:val="2"/>
          <w:sz w:val="32"/>
          <w:szCs w:val="32"/>
          <w:lang w:val="en-US" w:eastAsia="zh-CN" w:bidi="ar-SA"/>
        </w:rPr>
      </w:pPr>
      <w:r>
        <w:rPr>
          <w:rFonts w:hint="eastAsia" w:ascii="华文仿宋" w:hAnsi="华文仿宋" w:eastAsia="华文仿宋" w:cs="华文仿宋"/>
          <w:kern w:val="2"/>
          <w:sz w:val="32"/>
          <w:szCs w:val="32"/>
          <w:lang w:val="en-US" w:eastAsia="zh-CN" w:bidi="ar-SA"/>
        </w:rPr>
        <w:t>纳税人销售货物或者应税劳务适用免税规定的，可以放弃免税，依照条例的规定缴纳增值税。放弃免税后，36个月内不得再申请免税。生产和销售免征增值税货物或劳务的纳税人要求放弃免税权，应当以书面形式提交放弃免税权声明，报主管税务机关备案。纳税人自提交声明的次月起，按照现行有关规定计算缴纳增值税。纳税人一经放弃免税权，其生产销售的全部增值税应税货物或劳务均应按照适用税率/征收率征税，不得根据不同的销售对象选择部分货物或劳务放弃免税权。</w:t>
      </w:r>
    </w:p>
    <w:p>
      <w:pPr>
        <w:pStyle w:val="5"/>
        <w:ind w:firstLine="640" w:firstLineChars="200"/>
        <w:rPr>
          <w:rFonts w:hint="eastAsia" w:ascii="华文仿宋" w:hAnsi="华文仿宋" w:eastAsia="华文仿宋" w:cs="华文仿宋"/>
          <w:kern w:val="2"/>
          <w:sz w:val="32"/>
          <w:szCs w:val="32"/>
          <w:lang w:val="en-US" w:eastAsia="zh-CN" w:bidi="ar-SA"/>
        </w:rPr>
      </w:pPr>
      <w:r>
        <w:rPr>
          <w:rFonts w:hint="eastAsia" w:ascii="华文仿宋" w:hAnsi="华文仿宋" w:eastAsia="华文仿宋" w:cs="华文仿宋"/>
          <w:kern w:val="2"/>
          <w:sz w:val="32"/>
          <w:szCs w:val="32"/>
          <w:lang w:val="en-US" w:eastAsia="zh-CN" w:bidi="ar-SA"/>
        </w:rPr>
        <w:t>纳税人发生应税行为适用免税、减税规定的，可以放弃免税、减税，依照有关规定缴纳增值税。放弃免税、减税后，36个月内不得再申请免税、减税。</w:t>
      </w:r>
    </w:p>
    <w:p>
      <w:pPr>
        <w:pStyle w:val="5"/>
        <w:ind w:firstLine="640" w:firstLineChars="200"/>
        <w:rPr>
          <w:rFonts w:hint="eastAsia" w:ascii="华文仿宋" w:hAnsi="华文仿宋" w:eastAsia="华文仿宋" w:cs="华文仿宋"/>
          <w:kern w:val="2"/>
          <w:sz w:val="32"/>
          <w:szCs w:val="32"/>
          <w:lang w:val="en-US" w:eastAsia="zh-CN" w:bidi="ar-SA"/>
        </w:rPr>
      </w:pPr>
      <w:r>
        <w:rPr>
          <w:rFonts w:hint="eastAsia" w:ascii="华文仿宋" w:hAnsi="华文仿宋" w:eastAsia="华文仿宋" w:cs="华文仿宋"/>
          <w:kern w:val="2"/>
          <w:sz w:val="32"/>
          <w:szCs w:val="32"/>
          <w:lang w:val="en-US" w:eastAsia="zh-CN" w:bidi="ar-SA"/>
        </w:rPr>
        <w:t>纳税人可以就原先已享受的优惠项目放弃，也可以就未享受的优惠项目放弃。纳税人放弃不同免（减）税项目，不设置时间间隔。</w:t>
      </w:r>
    </w:p>
    <w:p>
      <w:pPr>
        <w:pStyle w:val="5"/>
        <w:ind w:firstLine="640" w:firstLineChars="200"/>
        <w:rPr>
          <w:rFonts w:hint="eastAsia" w:ascii="华文仿宋" w:hAnsi="华文仿宋" w:eastAsia="华文仿宋" w:cs="华文仿宋"/>
          <w:kern w:val="2"/>
          <w:sz w:val="32"/>
          <w:szCs w:val="32"/>
          <w:lang w:val="en-US" w:eastAsia="zh-CN" w:bidi="ar-SA"/>
        </w:rPr>
      </w:pPr>
      <w:r>
        <w:rPr>
          <w:rFonts w:hint="eastAsia" w:ascii="华文仿宋" w:hAnsi="华文仿宋" w:eastAsia="华文仿宋" w:cs="华文仿宋"/>
          <w:kern w:val="2"/>
          <w:sz w:val="32"/>
          <w:szCs w:val="32"/>
          <w:lang w:val="en-US" w:eastAsia="zh-CN" w:bidi="ar-SA"/>
        </w:rPr>
        <w:t>适用增值税免税政策的出口货物劳务，出口企业或其他单位可以依照现行增值税有关规定放弃免税，出口企业或其他单位如果放弃免税，实行按内销货物征税的，应向主管税务机关提出书面报告，报送《出口货物劳务放弃免税权声明表》，办理备案手续。自备案次月起执行征税政策，36个月内不得变更。</w:t>
      </w:r>
    </w:p>
    <w:p>
      <w:pPr>
        <w:pStyle w:val="3"/>
        <w:numPr>
          <w:ilvl w:val="0"/>
          <w:numId w:val="1"/>
        </w:numPr>
        <w:ind w:left="-13" w:leftChars="0" w:firstLine="643" w:firstLineChars="0"/>
        <w:outlineLvl w:val="0"/>
        <w:rPr>
          <w:rFonts w:hint="eastAsia" w:ascii="黑体" w:hAnsi="黑体" w:eastAsia="黑体" w:cs="黑体"/>
          <w:sz w:val="32"/>
          <w:szCs w:val="32"/>
        </w:rPr>
      </w:pPr>
      <w:r>
        <w:rPr>
          <w:rFonts w:hint="eastAsia" w:ascii="黑体" w:hAnsi="黑体" w:eastAsia="黑体" w:cs="黑体"/>
          <w:sz w:val="32"/>
          <w:szCs w:val="32"/>
        </w:rPr>
        <w:t>办理流程</w:t>
      </w:r>
    </w:p>
    <w:p>
      <w:pPr>
        <w:topLinePunct/>
        <w:spacing w:line="360" w:lineRule="auto"/>
        <w:ind w:firstLine="640" w:firstLineChars="200"/>
        <w:rPr>
          <w:rFonts w:hint="default" w:ascii="华文仿宋" w:hAnsi="华文仿宋" w:eastAsia="华文仿宋" w:cs="华文仿宋"/>
          <w:sz w:val="32"/>
          <w:szCs w:val="32"/>
        </w:rPr>
      </w:pPr>
      <w:r>
        <w:rPr>
          <w:rFonts w:hint="default" w:ascii="华文仿宋" w:hAnsi="华文仿宋" w:eastAsia="华文仿宋" w:cs="华文仿宋"/>
          <w:sz w:val="32"/>
          <w:szCs w:val="32"/>
        </w:rPr>
        <w:t>1、启动</w:t>
      </w:r>
    </w:p>
    <w:p>
      <w:pPr>
        <w:topLinePunct/>
        <w:spacing w:line="360" w:lineRule="auto"/>
        <w:ind w:firstLine="640" w:firstLineChars="200"/>
        <w:rPr>
          <w:rFonts w:hint="default" w:ascii="华文仿宋" w:hAnsi="华文仿宋" w:eastAsia="华文仿宋" w:cs="华文仿宋"/>
          <w:sz w:val="32"/>
          <w:szCs w:val="32"/>
        </w:rPr>
      </w:pPr>
      <w:r>
        <w:rPr>
          <w:rFonts w:hint="default" w:ascii="华文仿宋" w:hAnsi="华文仿宋" w:eastAsia="华文仿宋" w:cs="华文仿宋"/>
          <w:sz w:val="32"/>
          <w:szCs w:val="32"/>
        </w:rPr>
        <w:t xml:space="preserve">纳税人通过办税服务厅、电子税务局纳税人端、APP、自助办税终端申请办理的，税务人员按照业务规范要求受理和查验纳税人提交的资料，智能处理规则校验后，纳税人确认或补录，办结本事项。 </w:t>
      </w:r>
    </w:p>
    <w:p>
      <w:pPr>
        <w:topLinePunct/>
        <w:spacing w:line="360" w:lineRule="auto"/>
        <w:ind w:firstLine="640" w:firstLineChars="200"/>
        <w:rPr>
          <w:rFonts w:hint="default" w:ascii="华文仿宋" w:hAnsi="华文仿宋" w:eastAsia="华文仿宋" w:cs="华文仿宋"/>
          <w:sz w:val="32"/>
          <w:szCs w:val="32"/>
        </w:rPr>
      </w:pPr>
      <w:r>
        <w:rPr>
          <w:rFonts w:hint="default" w:ascii="华文仿宋" w:hAnsi="华文仿宋" w:eastAsia="华文仿宋" w:cs="华文仿宋"/>
          <w:sz w:val="32"/>
          <w:szCs w:val="32"/>
        </w:rPr>
        <w:t xml:space="preserve"> 2、填报确认</w:t>
      </w:r>
    </w:p>
    <w:p>
      <w:pPr>
        <w:topLinePunct/>
        <w:spacing w:line="360" w:lineRule="auto"/>
        <w:ind w:firstLine="640" w:firstLineChars="200"/>
        <w:rPr>
          <w:rFonts w:hint="default" w:ascii="华文仿宋" w:hAnsi="华文仿宋" w:eastAsia="华文仿宋" w:cs="华文仿宋"/>
          <w:sz w:val="32"/>
          <w:szCs w:val="32"/>
        </w:rPr>
      </w:pPr>
      <w:r>
        <w:rPr>
          <w:rFonts w:hint="default" w:ascii="华文仿宋" w:hAnsi="华文仿宋" w:eastAsia="华文仿宋" w:cs="华文仿宋"/>
          <w:sz w:val="32"/>
          <w:szCs w:val="32"/>
        </w:rPr>
        <w:t>纳税人放弃增值税免（减）税权声明模块使用纳税人开具免税发票内容的信息为纳税人提供相应预填服务与填表说明。纳税人提交后系统自动校验完成本事项。</w:t>
      </w:r>
    </w:p>
    <w:p>
      <w:pPr>
        <w:pStyle w:val="3"/>
        <w:numPr>
          <w:ilvl w:val="0"/>
          <w:numId w:val="1"/>
        </w:numPr>
        <w:ind w:left="-13" w:leftChars="0" w:firstLine="643" w:firstLineChars="0"/>
        <w:outlineLvl w:val="0"/>
        <w:rPr>
          <w:rFonts w:hint="eastAsia" w:ascii="黑体" w:hAnsi="黑体" w:eastAsia="黑体" w:cs="黑体"/>
          <w:sz w:val="32"/>
          <w:szCs w:val="32"/>
        </w:rPr>
      </w:pPr>
      <w:r>
        <w:rPr>
          <w:rFonts w:hint="eastAsia" w:ascii="黑体" w:hAnsi="黑体" w:eastAsia="黑体" w:cs="黑体"/>
          <w:sz w:val="32"/>
          <w:szCs w:val="32"/>
        </w:rPr>
        <w:t>关联场景</w:t>
      </w:r>
    </w:p>
    <w:tbl>
      <w:tblPr>
        <w:tblStyle w:val="6"/>
        <w:tblW w:w="8802"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131"/>
        <w:gridCol w:w="1400"/>
        <w:gridCol w:w="1577"/>
        <w:gridCol w:w="469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c>
          <w:tcPr>
            <w:tcW w:w="1131" w:type="dxa"/>
            <w:shd w:val="clear" w:color="auto" w:fill="D7D7D7" w:themeFill="background1" w:themeFillShade="D8"/>
            <w:vAlign w:val="center"/>
          </w:tcPr>
          <w:p>
            <w:pPr>
              <w:pStyle w:val="13"/>
              <w:keepNext w:val="0"/>
              <w:keepLines w:val="0"/>
              <w:widowControl/>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场景编号</w:t>
            </w:r>
          </w:p>
        </w:tc>
        <w:tc>
          <w:tcPr>
            <w:tcW w:w="1400" w:type="dxa"/>
            <w:shd w:val="clear" w:color="auto" w:fill="D7D7D7" w:themeFill="background1" w:themeFillShade="D8"/>
            <w:vAlign w:val="center"/>
          </w:tcPr>
          <w:p>
            <w:pPr>
              <w:pStyle w:val="13"/>
              <w:keepNext w:val="0"/>
              <w:keepLines w:val="0"/>
              <w:widowControl/>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场景顺序</w:t>
            </w:r>
          </w:p>
        </w:tc>
        <w:tc>
          <w:tcPr>
            <w:tcW w:w="1577" w:type="dxa"/>
            <w:shd w:val="clear" w:color="auto" w:fill="D7D7D7" w:themeFill="background1" w:themeFillShade="D8"/>
            <w:vAlign w:val="center"/>
          </w:tcPr>
          <w:p>
            <w:pPr>
              <w:pStyle w:val="13"/>
              <w:keepNext w:val="0"/>
              <w:keepLines w:val="0"/>
              <w:widowControl/>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场景名称</w:t>
            </w:r>
          </w:p>
        </w:tc>
        <w:tc>
          <w:tcPr>
            <w:tcW w:w="4694" w:type="dxa"/>
            <w:shd w:val="clear" w:color="auto" w:fill="D7D7D7" w:themeFill="background1" w:themeFillShade="D8"/>
            <w:vAlign w:val="center"/>
          </w:tcPr>
          <w:p>
            <w:pPr>
              <w:pStyle w:val="13"/>
              <w:keepNext w:val="0"/>
              <w:keepLines w:val="0"/>
              <w:widowControl/>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1131" w:type="dxa"/>
            <w:shd w:val="clear" w:color="auto" w:fill="auto"/>
            <w:vAlign w:val="center"/>
          </w:tcPr>
          <w:p>
            <w:pPr>
              <w:pStyle w:val="12"/>
              <w:keepNext w:val="0"/>
              <w:keepLines w:val="0"/>
              <w:widowControl/>
              <w:suppressLineNumbers w:val="0"/>
              <w:rPr>
                <w:rFonts w:hint="eastAsia" w:ascii="宋体" w:hAnsi="宋体" w:eastAsia="宋体" w:cs="宋体"/>
                <w:kern w:val="2"/>
                <w:sz w:val="21"/>
                <w:szCs w:val="21"/>
                <w:lang w:val="en-US" w:eastAsia="zh-CN"/>
              </w:rPr>
            </w:pPr>
            <w:r>
              <w:rPr>
                <w:rFonts w:hint="eastAsia" w:ascii="宋体" w:hAnsi="宋体" w:eastAsia="宋体" w:cs="宋体"/>
                <w:kern w:val="2"/>
                <w:sz w:val="21"/>
                <w:szCs w:val="21"/>
                <w:lang w:val="en-US" w:eastAsia="zh-CN"/>
              </w:rPr>
              <w:t>1</w:t>
            </w:r>
          </w:p>
        </w:tc>
        <w:tc>
          <w:tcPr>
            <w:tcW w:w="1400" w:type="dxa"/>
            <w:shd w:val="clear" w:color="auto" w:fill="auto"/>
            <w:vAlign w:val="center"/>
          </w:tcPr>
          <w:p>
            <w:pPr>
              <w:pStyle w:val="12"/>
              <w:keepNext w:val="0"/>
              <w:keepLines w:val="0"/>
              <w:widowControl/>
              <w:suppressLineNumbers w:val="0"/>
              <w:rPr>
                <w:rFonts w:hint="eastAsia" w:ascii="宋体" w:hAnsi="宋体" w:eastAsia="宋体" w:cs="宋体"/>
                <w:kern w:val="2"/>
                <w:sz w:val="21"/>
                <w:szCs w:val="21"/>
                <w:lang w:val="en-US" w:eastAsia="zh-CN"/>
              </w:rPr>
            </w:pPr>
            <w:r>
              <w:rPr>
                <w:rFonts w:hint="eastAsia" w:ascii="宋体" w:hAnsi="宋体" w:eastAsia="宋体" w:cs="宋体"/>
                <w:kern w:val="2"/>
                <w:sz w:val="21"/>
                <w:szCs w:val="21"/>
                <w:lang w:val="en-US" w:eastAsia="zh-CN"/>
              </w:rPr>
              <w:t>前序</w:t>
            </w:r>
            <w:r>
              <w:rPr>
                <w:rFonts w:hint="eastAsia" w:ascii="宋体" w:hAnsi="宋体" w:eastAsia="宋体" w:cs="宋体"/>
                <w:kern w:val="2"/>
                <w:sz w:val="21"/>
                <w:szCs w:val="21"/>
              </w:rPr>
              <w:t>场景</w:t>
            </w:r>
          </w:p>
        </w:tc>
        <w:tc>
          <w:tcPr>
            <w:tcW w:w="1577" w:type="dxa"/>
            <w:shd w:val="clear" w:color="auto" w:fill="auto"/>
            <w:vAlign w:val="center"/>
          </w:tcPr>
          <w:p>
            <w:pPr>
              <w:pStyle w:val="12"/>
              <w:keepNext w:val="0"/>
              <w:keepLines w:val="0"/>
              <w:widowControl/>
              <w:suppressLineNumbers w:val="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增值税发票开具</w:t>
            </w:r>
          </w:p>
        </w:tc>
        <w:tc>
          <w:tcPr>
            <w:tcW w:w="4694" w:type="dxa"/>
            <w:shd w:val="clear" w:color="auto" w:fill="auto"/>
            <w:vAlign w:val="center"/>
          </w:tcPr>
          <w:p>
            <w:pPr>
              <w:pStyle w:val="12"/>
              <w:keepNext w:val="0"/>
              <w:keepLines w:val="0"/>
              <w:widowControl/>
              <w:suppressLineNumbers w:val="0"/>
              <w:jc w:val="left"/>
              <w:rPr>
                <w:rFonts w:hint="eastAsia" w:ascii="宋体" w:hAnsi="宋体" w:eastAsia="宋体" w:cs="宋体"/>
                <w:kern w:val="2"/>
                <w:sz w:val="21"/>
                <w:szCs w:val="21"/>
                <w:lang w:val="en-US" w:eastAsia="zh-CN"/>
              </w:rPr>
            </w:pPr>
            <w:r>
              <w:rPr>
                <w:rFonts w:hint="eastAsia" w:ascii="宋体" w:hAnsi="宋体" w:eastAsia="宋体" w:cs="宋体"/>
                <w:kern w:val="2"/>
                <w:sz w:val="21"/>
                <w:szCs w:val="21"/>
                <w:lang w:val="en-US" w:eastAsia="zh-CN"/>
              </w:rPr>
              <w:t>纳税人开具发票、产生经营行为，可申请放弃减免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1131" w:type="dxa"/>
            <w:shd w:val="clear" w:color="auto" w:fill="auto"/>
            <w:vAlign w:val="center"/>
          </w:tcPr>
          <w:p>
            <w:pPr>
              <w:pStyle w:val="12"/>
              <w:keepNext w:val="0"/>
              <w:keepLines w:val="0"/>
              <w:widowControl/>
              <w:suppressLineNumbers w:val="0"/>
              <w:rPr>
                <w:rFonts w:hint="eastAsia" w:ascii="宋体" w:hAnsi="宋体" w:eastAsia="宋体" w:cs="宋体"/>
                <w:kern w:val="2"/>
                <w:sz w:val="21"/>
                <w:szCs w:val="21"/>
                <w:lang w:val="en-US" w:eastAsia="zh-CN"/>
              </w:rPr>
            </w:pPr>
            <w:r>
              <w:rPr>
                <w:rFonts w:hint="eastAsia" w:ascii="宋体" w:hAnsi="宋体" w:eastAsia="宋体" w:cs="宋体"/>
                <w:kern w:val="2"/>
                <w:sz w:val="21"/>
                <w:szCs w:val="21"/>
                <w:lang w:val="en-US" w:eastAsia="zh-CN"/>
              </w:rPr>
              <w:t>2</w:t>
            </w:r>
          </w:p>
        </w:tc>
        <w:tc>
          <w:tcPr>
            <w:tcW w:w="1400" w:type="dxa"/>
            <w:shd w:val="clear" w:color="auto" w:fill="auto"/>
            <w:vAlign w:val="center"/>
          </w:tcPr>
          <w:p>
            <w:pPr>
              <w:pStyle w:val="12"/>
              <w:keepNext w:val="0"/>
              <w:keepLines w:val="0"/>
              <w:widowControl/>
              <w:suppressLineNumbers w:val="0"/>
              <w:rPr>
                <w:rFonts w:hint="eastAsia" w:ascii="宋体" w:hAnsi="宋体" w:eastAsia="宋体" w:cs="宋体"/>
                <w:kern w:val="2"/>
                <w:sz w:val="21"/>
                <w:szCs w:val="21"/>
              </w:rPr>
            </w:pPr>
            <w:r>
              <w:rPr>
                <w:rFonts w:hint="eastAsia" w:ascii="宋体" w:hAnsi="宋体" w:eastAsia="宋体" w:cs="宋体"/>
                <w:kern w:val="2"/>
                <w:sz w:val="21"/>
                <w:szCs w:val="21"/>
              </w:rPr>
              <w:t>主场景</w:t>
            </w:r>
          </w:p>
        </w:tc>
        <w:tc>
          <w:tcPr>
            <w:tcW w:w="1577" w:type="dxa"/>
            <w:shd w:val="clear" w:color="auto" w:fill="auto"/>
            <w:vAlign w:val="center"/>
          </w:tcPr>
          <w:p>
            <w:pPr>
              <w:pStyle w:val="12"/>
              <w:keepNext w:val="0"/>
              <w:keepLines w:val="0"/>
              <w:widowControl/>
              <w:suppressLineNumbers w:val="0"/>
              <w:rPr>
                <w:rFonts w:hint="eastAsia" w:ascii="宋体" w:hAnsi="宋体" w:eastAsia="宋体" w:cs="宋体"/>
                <w:sz w:val="21"/>
                <w:szCs w:val="21"/>
              </w:rPr>
            </w:pPr>
            <w:r>
              <w:rPr>
                <w:rFonts w:hint="eastAsia" w:ascii="宋体" w:hAnsi="宋体" w:eastAsia="宋体" w:cs="宋体"/>
                <w:sz w:val="21"/>
                <w:szCs w:val="21"/>
              </w:rPr>
              <w:t>纳税人放弃增值税免（减）税权声明</w:t>
            </w:r>
          </w:p>
        </w:tc>
        <w:tc>
          <w:tcPr>
            <w:tcW w:w="4694" w:type="dxa"/>
            <w:shd w:val="clear" w:color="auto" w:fill="auto"/>
            <w:vAlign w:val="center"/>
          </w:tcPr>
          <w:p>
            <w:pPr>
              <w:pStyle w:val="12"/>
              <w:keepNext w:val="0"/>
              <w:keepLines w:val="0"/>
              <w:widowControl/>
              <w:suppressLineNumbers w:val="0"/>
              <w:jc w:val="left"/>
              <w:rPr>
                <w:rFonts w:hint="eastAsia" w:ascii="宋体" w:hAnsi="宋体" w:eastAsia="宋体" w:cs="宋体"/>
                <w:kern w:val="2"/>
                <w:sz w:val="21"/>
                <w:szCs w:val="21"/>
                <w:lang w:val="en-US" w:eastAsia="zh-CN"/>
              </w:rPr>
            </w:pPr>
            <w:r>
              <w:rPr>
                <w:rFonts w:hint="eastAsia" w:ascii="宋体" w:hAnsi="宋体" w:eastAsia="宋体" w:cs="宋体"/>
                <w:sz w:val="21"/>
                <w:szCs w:val="21"/>
              </w:rPr>
              <w:t>纳税人</w:t>
            </w:r>
            <w:r>
              <w:rPr>
                <w:rFonts w:hint="eastAsia" w:ascii="宋体" w:hAnsi="宋体" w:eastAsia="宋体" w:cs="宋体"/>
                <w:kern w:val="2"/>
                <w:sz w:val="21"/>
                <w:szCs w:val="21"/>
                <w:lang w:val="en-US" w:eastAsia="zh-CN"/>
              </w:rPr>
              <w:t>发起</w:t>
            </w:r>
            <w:r>
              <w:rPr>
                <w:rFonts w:hint="eastAsia" w:ascii="宋体" w:hAnsi="宋体" w:eastAsia="宋体" w:cs="宋体"/>
                <w:sz w:val="21"/>
                <w:szCs w:val="21"/>
              </w:rPr>
              <w:t>放弃增值税免（减）税权声明</w:t>
            </w:r>
            <w:r>
              <w:rPr>
                <w:rFonts w:hint="eastAsia" w:ascii="宋体" w:hAnsi="宋体" w:eastAsia="宋体" w:cs="宋体"/>
                <w:sz w:val="21"/>
                <w:szCs w:val="21"/>
                <w:lang w:val="en-US" w:eastAsia="zh-CN"/>
              </w:rPr>
              <w:t>流程或税务机关工作人员前台受理流程。</w:t>
            </w:r>
          </w:p>
        </w:tc>
      </w:tr>
    </w:tbl>
    <w:p>
      <w:pPr>
        <w:ind w:firstLine="420" w:firstLineChars="200"/>
        <w:rPr>
          <w:rFonts w:hint="eastAsia"/>
        </w:rPr>
      </w:pPr>
    </w:p>
    <w:p>
      <w:pPr>
        <w:pStyle w:val="3"/>
        <w:numPr>
          <w:ilvl w:val="0"/>
          <w:numId w:val="1"/>
        </w:numPr>
        <w:ind w:left="-13" w:leftChars="0" w:firstLine="643" w:firstLineChars="0"/>
        <w:outlineLvl w:val="0"/>
        <w:rPr>
          <w:rFonts w:hint="eastAsia" w:ascii="黑体" w:hAnsi="黑体" w:eastAsia="黑体" w:cs="黑体"/>
          <w:sz w:val="32"/>
          <w:szCs w:val="32"/>
        </w:rPr>
      </w:pPr>
      <w:r>
        <w:rPr>
          <w:rFonts w:hint="eastAsia" w:ascii="黑体" w:hAnsi="黑体" w:eastAsia="黑体" w:cs="黑体"/>
          <w:sz w:val="32"/>
          <w:szCs w:val="32"/>
        </w:rPr>
        <w:t>功能路径</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1.我要办税-</w:t>
      </w:r>
      <w:r>
        <w:rPr>
          <w:rFonts w:hint="eastAsia" w:ascii="华文仿宋" w:hAnsi="华文仿宋" w:eastAsia="华文仿宋" w:cs="华文仿宋"/>
          <w:sz w:val="32"/>
          <w:szCs w:val="32"/>
          <w:lang w:val="en-US" w:eastAsia="zh-Hans"/>
        </w:rPr>
        <w:t>税收减免</w:t>
      </w:r>
      <w:r>
        <w:rPr>
          <w:rFonts w:hint="eastAsia" w:ascii="华文仿宋" w:hAnsi="华文仿宋" w:eastAsia="华文仿宋" w:cs="华文仿宋"/>
          <w:sz w:val="32"/>
          <w:szCs w:val="32"/>
          <w:lang w:val="en-US" w:eastAsia="zh-CN"/>
        </w:rPr>
        <w:t>-纳税人放弃增值税免（减）税权声明。</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2.通过首页搜索栏输入关键字查找出的“纳税人放弃增值税免（减）税权声明”进入。</w:t>
      </w:r>
    </w:p>
    <w:p>
      <w:pPr>
        <w:pStyle w:val="3"/>
        <w:numPr>
          <w:ilvl w:val="0"/>
          <w:numId w:val="1"/>
        </w:numPr>
        <w:ind w:left="-13" w:leftChars="0" w:firstLine="643" w:firstLineChars="0"/>
        <w:outlineLvl w:val="0"/>
        <w:rPr>
          <w:rFonts w:hint="eastAsia" w:ascii="黑体" w:hAnsi="黑体" w:eastAsia="黑体" w:cs="黑体"/>
          <w:sz w:val="32"/>
          <w:szCs w:val="32"/>
          <w:lang w:eastAsia="zh-Hans"/>
        </w:rPr>
      </w:pPr>
      <w:r>
        <w:rPr>
          <w:rFonts w:hint="eastAsia" w:ascii="黑体" w:hAnsi="黑体" w:eastAsia="黑体" w:cs="黑体"/>
          <w:sz w:val="32"/>
          <w:szCs w:val="32"/>
          <w:lang w:eastAsia="zh-Hans"/>
        </w:rPr>
        <w:t>操作步骤</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w:t>
      </w:r>
      <w:r>
        <w:rPr>
          <w:rFonts w:hint="eastAsia" w:ascii="华文仿宋" w:hAnsi="华文仿宋" w:eastAsia="华文仿宋" w:cs="华文仿宋"/>
          <w:sz w:val="32"/>
          <w:szCs w:val="32"/>
        </w:rPr>
        <w:t>登录新电子</w:t>
      </w:r>
      <w:r>
        <w:rPr>
          <w:rFonts w:hint="eastAsia" w:ascii="华文仿宋" w:hAnsi="华文仿宋" w:eastAsia="华文仿宋" w:cs="华文仿宋"/>
          <w:sz w:val="32"/>
          <w:szCs w:val="32"/>
          <w:lang w:val="en-US" w:eastAsia="zh-CN"/>
        </w:rPr>
        <w:t>税务</w:t>
      </w:r>
      <w:r>
        <w:rPr>
          <w:rFonts w:hint="eastAsia" w:ascii="华文仿宋" w:hAnsi="华文仿宋" w:eastAsia="华文仿宋" w:cs="华文仿宋"/>
          <w:sz w:val="32"/>
          <w:szCs w:val="32"/>
        </w:rPr>
        <w:t>局后，点击</w:t>
      </w:r>
      <w:r>
        <w:rPr>
          <w:rFonts w:hint="eastAsia" w:ascii="华文仿宋" w:hAnsi="华文仿宋" w:eastAsia="华文仿宋" w:cs="华文仿宋"/>
          <w:sz w:val="32"/>
          <w:szCs w:val="32"/>
          <w:lang w:eastAsia="zh-CN"/>
        </w:rPr>
        <w:t>【</w:t>
      </w:r>
      <w:r>
        <w:rPr>
          <w:rFonts w:hint="eastAsia" w:ascii="华文仿宋" w:hAnsi="华文仿宋" w:eastAsia="华文仿宋" w:cs="华文仿宋"/>
          <w:bCs/>
          <w:sz w:val="32"/>
          <w:szCs w:val="32"/>
        </w:rPr>
        <w:t>我要办税</w:t>
      </w:r>
      <w:r>
        <w:rPr>
          <w:rFonts w:hint="eastAsia" w:ascii="华文仿宋" w:hAnsi="华文仿宋" w:eastAsia="华文仿宋" w:cs="华文仿宋"/>
          <w:sz w:val="32"/>
          <w:szCs w:val="32"/>
          <w:lang w:eastAsia="zh-CN"/>
        </w:rPr>
        <w:t>】</w:t>
      </w:r>
      <w:r>
        <w:rPr>
          <w:rFonts w:hint="eastAsia" w:ascii="华文仿宋" w:hAnsi="华文仿宋" w:eastAsia="华文仿宋" w:cs="华文仿宋"/>
          <w:bCs/>
          <w:sz w:val="32"/>
          <w:szCs w:val="32"/>
        </w:rPr>
        <w:t>-</w:t>
      </w:r>
      <w:r>
        <w:rPr>
          <w:rFonts w:hint="eastAsia" w:ascii="华文仿宋" w:hAnsi="华文仿宋" w:eastAsia="华文仿宋" w:cs="华文仿宋"/>
          <w:bCs/>
          <w:sz w:val="32"/>
          <w:szCs w:val="32"/>
          <w:lang w:eastAsia="zh-CN"/>
        </w:rPr>
        <w:t>【</w:t>
      </w:r>
      <w:r>
        <w:rPr>
          <w:rFonts w:hint="eastAsia" w:ascii="华文仿宋" w:hAnsi="华文仿宋" w:eastAsia="华文仿宋" w:cs="华文仿宋"/>
          <w:bCs/>
          <w:sz w:val="32"/>
          <w:szCs w:val="32"/>
          <w:lang w:val="en-US" w:eastAsia="zh-Hans"/>
        </w:rPr>
        <w:t>税收减免</w:t>
      </w:r>
      <w:r>
        <w:rPr>
          <w:rFonts w:hint="eastAsia" w:ascii="华文仿宋" w:hAnsi="华文仿宋" w:eastAsia="华文仿宋" w:cs="华文仿宋"/>
          <w:bCs/>
          <w:sz w:val="32"/>
          <w:szCs w:val="32"/>
          <w:lang w:eastAsia="zh-CN"/>
        </w:rPr>
        <w:t>】</w:t>
      </w:r>
      <w:r>
        <w:rPr>
          <w:rFonts w:hint="eastAsia" w:ascii="华文仿宋" w:hAnsi="华文仿宋" w:eastAsia="华文仿宋" w:cs="华文仿宋"/>
          <w:bCs/>
          <w:sz w:val="32"/>
          <w:szCs w:val="32"/>
        </w:rPr>
        <w:t>-</w:t>
      </w:r>
      <w:r>
        <w:rPr>
          <w:rFonts w:hint="eastAsia" w:ascii="华文仿宋" w:hAnsi="华文仿宋" w:eastAsia="华文仿宋" w:cs="华文仿宋"/>
          <w:bCs/>
          <w:sz w:val="32"/>
          <w:szCs w:val="32"/>
          <w:lang w:eastAsia="zh-CN"/>
        </w:rPr>
        <w:t>【</w:t>
      </w:r>
      <w:r>
        <w:rPr>
          <w:rFonts w:hint="eastAsia" w:ascii="华文仿宋" w:hAnsi="华文仿宋" w:eastAsia="华文仿宋" w:cs="华文仿宋"/>
          <w:bCs/>
          <w:sz w:val="32"/>
          <w:szCs w:val="32"/>
        </w:rPr>
        <w:t>纳税人放弃增值税免（减）税权声明</w:t>
      </w:r>
      <w:r>
        <w:rPr>
          <w:rFonts w:hint="eastAsia" w:ascii="华文仿宋" w:hAnsi="华文仿宋" w:eastAsia="华文仿宋" w:cs="华文仿宋"/>
          <w:bCs/>
          <w:sz w:val="32"/>
          <w:szCs w:val="32"/>
          <w:lang w:eastAsia="zh-CN"/>
        </w:rPr>
        <w:t>】</w:t>
      </w:r>
      <w:r>
        <w:rPr>
          <w:rFonts w:hint="eastAsia" w:ascii="华文仿宋" w:hAnsi="华文仿宋" w:eastAsia="华文仿宋" w:cs="华文仿宋"/>
          <w:sz w:val="32"/>
          <w:szCs w:val="32"/>
        </w:rPr>
        <w:t>功能菜单。</w:t>
      </w:r>
    </w:p>
    <w:p>
      <w:pPr>
        <w:numPr>
          <w:ilvl w:val="0"/>
          <w:numId w:val="0"/>
        </w:numPr>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drawing>
          <wp:anchor distT="0" distB="0" distL="114300" distR="114300" simplePos="0" relativeHeight="251659264" behindDoc="0" locked="0" layoutInCell="1" allowOverlap="1">
            <wp:simplePos x="0" y="0"/>
            <wp:positionH relativeFrom="column">
              <wp:posOffset>5715</wp:posOffset>
            </wp:positionH>
            <wp:positionV relativeFrom="paragraph">
              <wp:posOffset>24130</wp:posOffset>
            </wp:positionV>
            <wp:extent cx="1215390" cy="175260"/>
            <wp:effectExtent l="0" t="0" r="3810" b="7620"/>
            <wp:wrapNone/>
            <wp:docPr id="2" name="图片 2" descr="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亮"/>
                    <pic:cNvPicPr>
                      <a:picLocks noChangeAspect="1"/>
                    </pic:cNvPicPr>
                  </pic:nvPicPr>
                  <pic:blipFill>
                    <a:blip r:embed="rId4"/>
                    <a:stretch>
                      <a:fillRect/>
                    </a:stretch>
                  </pic:blipFill>
                  <pic:spPr>
                    <a:xfrm>
                      <a:off x="0" y="0"/>
                      <a:ext cx="1215390" cy="175260"/>
                    </a:xfrm>
                    <a:prstGeom prst="rect">
                      <a:avLst/>
                    </a:prstGeom>
                  </pic:spPr>
                </pic:pic>
              </a:graphicData>
            </a:graphic>
          </wp:anchor>
        </w:drawing>
      </w:r>
      <w:r>
        <w:drawing>
          <wp:inline distT="0" distB="0" distL="114300" distR="114300">
            <wp:extent cx="5264150" cy="2534920"/>
            <wp:effectExtent l="0" t="0" r="8890" b="1016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5"/>
                    <a:stretch>
                      <a:fillRect/>
                    </a:stretch>
                  </pic:blipFill>
                  <pic:spPr>
                    <a:xfrm>
                      <a:off x="0" y="0"/>
                      <a:ext cx="5264150" cy="253492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Hans"/>
        </w:rPr>
      </w:pPr>
      <w:r>
        <w:rPr>
          <w:rFonts w:hint="eastAsia" w:ascii="华文仿宋" w:hAnsi="华文仿宋" w:eastAsia="华文仿宋" w:cs="华文仿宋"/>
          <w:sz w:val="32"/>
          <w:szCs w:val="32"/>
          <w:lang w:val="en-US" w:eastAsia="zh-CN"/>
        </w:rPr>
        <w:t>2.纳税人根据实际情况</w:t>
      </w:r>
      <w:r>
        <w:rPr>
          <w:rFonts w:hint="default" w:ascii="华文仿宋" w:hAnsi="华文仿宋" w:eastAsia="华文仿宋" w:cs="华文仿宋"/>
          <w:sz w:val="32"/>
          <w:szCs w:val="32"/>
          <w:lang w:val="en-US" w:eastAsia="zh-CN"/>
        </w:rPr>
        <w:t>，</w:t>
      </w:r>
      <w:r>
        <w:rPr>
          <w:rFonts w:hint="eastAsia" w:ascii="华文仿宋" w:hAnsi="华文仿宋" w:eastAsia="华文仿宋" w:cs="华文仿宋"/>
          <w:sz w:val="32"/>
          <w:szCs w:val="32"/>
          <w:lang w:val="en-US" w:eastAsia="zh-CN"/>
        </w:rPr>
        <w:t>填写</w:t>
      </w:r>
      <w:r>
        <w:rPr>
          <w:rFonts w:hint="eastAsia" w:ascii="华文仿宋" w:hAnsi="华文仿宋" w:eastAsia="华文仿宋" w:cs="华文仿宋"/>
          <w:sz w:val="32"/>
          <w:szCs w:val="32"/>
          <w:lang w:val="en-US" w:eastAsia="zh-Hans"/>
        </w:rPr>
        <w:t>原已享受事项</w:t>
      </w:r>
      <w:r>
        <w:rPr>
          <w:rFonts w:hint="eastAsia" w:ascii="华文仿宋" w:hAnsi="华文仿宋" w:eastAsia="华文仿宋" w:cs="华文仿宋"/>
          <w:sz w:val="32"/>
          <w:szCs w:val="32"/>
          <w:lang w:val="en-US" w:eastAsia="zh-CN"/>
        </w:rPr>
        <w:t>、</w:t>
      </w:r>
      <w:r>
        <w:rPr>
          <w:rFonts w:hint="eastAsia" w:ascii="华文仿宋" w:hAnsi="华文仿宋" w:eastAsia="华文仿宋" w:cs="华文仿宋"/>
          <w:sz w:val="32"/>
          <w:szCs w:val="32"/>
          <w:lang w:val="en-US" w:eastAsia="zh-Hans"/>
        </w:rPr>
        <w:t>减免金额</w:t>
      </w:r>
      <w:r>
        <w:rPr>
          <w:rFonts w:hint="default" w:ascii="华文仿宋" w:hAnsi="华文仿宋" w:eastAsia="华文仿宋" w:cs="华文仿宋"/>
          <w:sz w:val="32"/>
          <w:szCs w:val="32"/>
          <w:lang w:val="en-US" w:eastAsia="zh-Hans"/>
        </w:rPr>
        <w:t>、</w:t>
      </w:r>
      <w:r>
        <w:rPr>
          <w:rFonts w:hint="eastAsia" w:ascii="华文仿宋" w:hAnsi="华文仿宋" w:eastAsia="华文仿宋" w:cs="华文仿宋"/>
          <w:sz w:val="32"/>
          <w:szCs w:val="32"/>
          <w:lang w:val="en-US" w:eastAsia="zh-Hans"/>
        </w:rPr>
        <w:t>减免税额</w:t>
      </w:r>
      <w:r>
        <w:rPr>
          <w:rFonts w:hint="default" w:ascii="华文仿宋" w:hAnsi="华文仿宋" w:eastAsia="华文仿宋" w:cs="华文仿宋"/>
          <w:sz w:val="32"/>
          <w:szCs w:val="32"/>
          <w:lang w:val="en-US" w:eastAsia="zh-Hans"/>
        </w:rPr>
        <w:t>、</w:t>
      </w:r>
      <w:r>
        <w:rPr>
          <w:rFonts w:hint="eastAsia" w:ascii="华文仿宋" w:hAnsi="华文仿宋" w:eastAsia="华文仿宋" w:cs="华文仿宋"/>
          <w:sz w:val="32"/>
          <w:szCs w:val="32"/>
          <w:lang w:val="en-US" w:eastAsia="zh-Hans"/>
        </w:rPr>
        <w:t>所属期起</w:t>
      </w:r>
      <w:r>
        <w:rPr>
          <w:rFonts w:hint="default" w:ascii="华文仿宋" w:hAnsi="华文仿宋" w:eastAsia="华文仿宋" w:cs="华文仿宋"/>
          <w:sz w:val="32"/>
          <w:szCs w:val="32"/>
          <w:lang w:val="en-US" w:eastAsia="zh-Hans"/>
        </w:rPr>
        <w:t>、</w:t>
      </w:r>
      <w:r>
        <w:rPr>
          <w:rFonts w:hint="eastAsia" w:ascii="华文仿宋" w:hAnsi="华文仿宋" w:eastAsia="华文仿宋" w:cs="华文仿宋"/>
          <w:sz w:val="32"/>
          <w:szCs w:val="32"/>
          <w:lang w:val="en-US" w:eastAsia="zh-Hans"/>
        </w:rPr>
        <w:t>所属期止</w:t>
      </w:r>
      <w:r>
        <w:rPr>
          <w:rFonts w:hint="eastAsia" w:ascii="华文仿宋" w:hAnsi="华文仿宋" w:eastAsia="华文仿宋" w:cs="华文仿宋"/>
          <w:sz w:val="32"/>
          <w:szCs w:val="32"/>
          <w:lang w:val="en-US" w:eastAsia="zh-CN"/>
        </w:rPr>
        <w:t>。</w:t>
      </w:r>
    </w:p>
    <w:p>
      <w:pPr>
        <w:numPr>
          <w:ilvl w:val="0"/>
          <w:numId w:val="0"/>
        </w:numPr>
        <w:jc w:val="left"/>
      </w:pPr>
      <w:r>
        <w:rPr>
          <w:rFonts w:hint="eastAsia" w:ascii="华文仿宋" w:hAnsi="华文仿宋" w:eastAsia="华文仿宋" w:cs="华文仿宋"/>
          <w:sz w:val="32"/>
          <w:szCs w:val="32"/>
          <w:lang w:val="en-US" w:eastAsia="zh-CN"/>
        </w:rPr>
        <w:drawing>
          <wp:anchor distT="0" distB="0" distL="114300" distR="114300" simplePos="0" relativeHeight="251660288" behindDoc="0" locked="0" layoutInCell="1" allowOverlap="1">
            <wp:simplePos x="0" y="0"/>
            <wp:positionH relativeFrom="column">
              <wp:posOffset>-5715</wp:posOffset>
            </wp:positionH>
            <wp:positionV relativeFrom="paragraph">
              <wp:posOffset>21590</wp:posOffset>
            </wp:positionV>
            <wp:extent cx="1415415" cy="207645"/>
            <wp:effectExtent l="0" t="0" r="1905" b="5715"/>
            <wp:wrapNone/>
            <wp:docPr id="7" name="图片 7" descr="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亮"/>
                    <pic:cNvPicPr>
                      <a:picLocks noChangeAspect="1"/>
                    </pic:cNvPicPr>
                  </pic:nvPicPr>
                  <pic:blipFill>
                    <a:blip r:embed="rId4"/>
                    <a:stretch>
                      <a:fillRect/>
                    </a:stretch>
                  </pic:blipFill>
                  <pic:spPr>
                    <a:xfrm>
                      <a:off x="0" y="0"/>
                      <a:ext cx="1415415" cy="207645"/>
                    </a:xfrm>
                    <a:prstGeom prst="rect">
                      <a:avLst/>
                    </a:prstGeom>
                  </pic:spPr>
                </pic:pic>
              </a:graphicData>
            </a:graphic>
          </wp:anchor>
        </w:drawing>
      </w:r>
      <w:r>
        <w:drawing>
          <wp:inline distT="0" distB="0" distL="114300" distR="114300">
            <wp:extent cx="5268595" cy="2906395"/>
            <wp:effectExtent l="0" t="0" r="14605" b="146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268595" cy="290639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3.若纳税人需要查看往期</w:t>
      </w:r>
      <w:r>
        <w:rPr>
          <w:rFonts w:hint="eastAsia" w:ascii="华文仿宋" w:hAnsi="华文仿宋" w:eastAsia="华文仿宋" w:cs="华文仿宋"/>
          <w:sz w:val="32"/>
          <w:szCs w:val="32"/>
          <w:lang w:val="en-US" w:eastAsia="zh-Hans"/>
        </w:rPr>
        <w:t>放弃记录</w:t>
      </w:r>
      <w:r>
        <w:rPr>
          <w:rFonts w:hint="eastAsia" w:ascii="华文仿宋" w:hAnsi="华文仿宋" w:eastAsia="华文仿宋" w:cs="华文仿宋"/>
          <w:sz w:val="32"/>
          <w:szCs w:val="32"/>
          <w:lang w:val="en-US" w:eastAsia="zh-CN"/>
        </w:rPr>
        <w:t>，可点击右上角</w:t>
      </w:r>
      <w:r>
        <w:rPr>
          <w:rFonts w:hint="eastAsia" w:ascii="华文仿宋" w:hAnsi="华文仿宋" w:eastAsia="华文仿宋" w:cs="华文仿宋"/>
          <w:sz w:val="32"/>
          <w:szCs w:val="32"/>
          <w:lang w:val="en-US" w:eastAsia="zh-Hans"/>
        </w:rPr>
        <w:t>历史记录</w:t>
      </w:r>
      <w:r>
        <w:rPr>
          <w:rFonts w:hint="eastAsia" w:ascii="华文仿宋" w:hAnsi="华文仿宋" w:eastAsia="华文仿宋" w:cs="华文仿宋"/>
          <w:sz w:val="32"/>
          <w:szCs w:val="32"/>
          <w:lang w:val="en-US" w:eastAsia="zh-CN"/>
        </w:rPr>
        <w:t>进行查看。</w:t>
      </w:r>
    </w:p>
    <w:p>
      <w:pPr>
        <w:numPr>
          <w:ilvl w:val="0"/>
          <w:numId w:val="0"/>
        </w:numPr>
        <w:jc w:val="left"/>
      </w:pPr>
      <w:r>
        <w:rPr>
          <w:rFonts w:hint="eastAsia" w:ascii="华文仿宋" w:hAnsi="华文仿宋" w:eastAsia="华文仿宋" w:cs="华文仿宋"/>
          <w:sz w:val="32"/>
          <w:szCs w:val="32"/>
          <w:lang w:val="en-US" w:eastAsia="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24765</wp:posOffset>
            </wp:positionV>
            <wp:extent cx="1391285" cy="201295"/>
            <wp:effectExtent l="0" t="0" r="10795" b="12065"/>
            <wp:wrapNone/>
            <wp:docPr id="9" name="图片 9" descr="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亮"/>
                    <pic:cNvPicPr>
                      <a:picLocks noChangeAspect="1"/>
                    </pic:cNvPicPr>
                  </pic:nvPicPr>
                  <pic:blipFill>
                    <a:blip r:embed="rId4"/>
                    <a:stretch>
                      <a:fillRect/>
                    </a:stretch>
                  </pic:blipFill>
                  <pic:spPr>
                    <a:xfrm>
                      <a:off x="0" y="0"/>
                      <a:ext cx="1391285" cy="201295"/>
                    </a:xfrm>
                    <a:prstGeom prst="rect">
                      <a:avLst/>
                    </a:prstGeom>
                  </pic:spPr>
                </pic:pic>
              </a:graphicData>
            </a:graphic>
          </wp:anchor>
        </w:drawing>
      </w:r>
      <w:r>
        <w:drawing>
          <wp:inline distT="0" distB="0" distL="114300" distR="114300">
            <wp:extent cx="5262880" cy="2913380"/>
            <wp:effectExtent l="0" t="0" r="20320" b="762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5262880" cy="291338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4.纳税人确认所填信息无误并上传</w:t>
      </w:r>
      <w:r>
        <w:rPr>
          <w:rFonts w:hint="eastAsia" w:ascii="华文仿宋" w:hAnsi="华文仿宋" w:eastAsia="华文仿宋" w:cs="华文仿宋"/>
          <w:sz w:val="32"/>
          <w:szCs w:val="32"/>
          <w:lang w:val="en-US" w:eastAsia="zh-Hans"/>
        </w:rPr>
        <w:t>附列资料后</w:t>
      </w:r>
      <w:r>
        <w:rPr>
          <w:rFonts w:hint="eastAsia" w:ascii="华文仿宋" w:hAnsi="华文仿宋" w:eastAsia="华文仿宋" w:cs="华文仿宋"/>
          <w:sz w:val="32"/>
          <w:szCs w:val="32"/>
          <w:lang w:val="en-US" w:eastAsia="zh-CN"/>
        </w:rPr>
        <w:t>，点击“提交”按钮，提交到核心，页面显示申请成功。</w:t>
      </w:r>
    </w:p>
    <w:p>
      <w:pPr>
        <w:numPr>
          <w:ilvl w:val="0"/>
          <w:numId w:val="0"/>
        </w:numPr>
        <w:rPr>
          <w:rFonts w:hint="eastAsia" w:eastAsia="华文仿宋"/>
          <w:lang w:eastAsia="zh-CN"/>
        </w:rPr>
      </w:pPr>
      <w:r>
        <w:rPr>
          <w:rFonts w:hint="eastAsia" w:ascii="华文仿宋" w:hAnsi="华文仿宋" w:eastAsia="华文仿宋" w:cs="华文仿宋"/>
          <w:sz w:val="32"/>
          <w:szCs w:val="32"/>
          <w:lang w:val="en-US" w:eastAsia="zh-CN"/>
        </w:rPr>
        <w:drawing>
          <wp:anchor distT="0" distB="0" distL="114300" distR="114300" simplePos="0" relativeHeight="251662336" behindDoc="0" locked="0" layoutInCell="1" allowOverlap="1">
            <wp:simplePos x="0" y="0"/>
            <wp:positionH relativeFrom="column">
              <wp:posOffset>-5715</wp:posOffset>
            </wp:positionH>
            <wp:positionV relativeFrom="paragraph">
              <wp:posOffset>2540</wp:posOffset>
            </wp:positionV>
            <wp:extent cx="1309370" cy="189865"/>
            <wp:effectExtent l="0" t="0" r="1270" b="8255"/>
            <wp:wrapNone/>
            <wp:docPr id="11" name="图片 11" descr="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亮"/>
                    <pic:cNvPicPr>
                      <a:picLocks noChangeAspect="1"/>
                    </pic:cNvPicPr>
                  </pic:nvPicPr>
                  <pic:blipFill>
                    <a:blip r:embed="rId4"/>
                    <a:stretch>
                      <a:fillRect/>
                    </a:stretch>
                  </pic:blipFill>
                  <pic:spPr>
                    <a:xfrm>
                      <a:off x="0" y="0"/>
                      <a:ext cx="1309370" cy="189865"/>
                    </a:xfrm>
                    <a:prstGeom prst="rect">
                      <a:avLst/>
                    </a:prstGeom>
                  </pic:spPr>
                </pic:pic>
              </a:graphicData>
            </a:graphic>
          </wp:anchor>
        </w:drawing>
      </w:r>
      <w:bookmarkStart w:id="2" w:name="_GoBack"/>
      <w:r>
        <w:drawing>
          <wp:inline distT="0" distB="0" distL="114300" distR="114300">
            <wp:extent cx="5274310" cy="2551430"/>
            <wp:effectExtent l="0" t="0" r="13970" b="889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8"/>
                    <a:stretch>
                      <a:fillRect/>
                    </a:stretch>
                  </pic:blipFill>
                  <pic:spPr>
                    <a:xfrm>
                      <a:off x="0" y="0"/>
                      <a:ext cx="5274310" cy="2551430"/>
                    </a:xfrm>
                    <a:prstGeom prst="rect">
                      <a:avLst/>
                    </a:prstGeom>
                    <a:noFill/>
                    <a:ln>
                      <a:noFill/>
                    </a:ln>
                  </pic:spPr>
                </pic:pic>
              </a:graphicData>
            </a:graphic>
          </wp:inline>
        </w:drawing>
      </w:r>
      <w:bookmarkEnd w:id="2"/>
    </w:p>
    <w:p>
      <w:pPr>
        <w:numPr>
          <w:ilvl w:val="0"/>
          <w:numId w:val="0"/>
        </w:numPr>
        <w:ind w:left="710" w:leftChars="0"/>
        <w:rPr>
          <w:rFonts w:hint="eastAsia"/>
          <w:lang w:val="en-US" w:eastAsia="zh-CN"/>
        </w:rPr>
      </w:pPr>
    </w:p>
    <w:p>
      <w:pPr>
        <w:pStyle w:val="3"/>
        <w:numPr>
          <w:ilvl w:val="0"/>
          <w:numId w:val="1"/>
        </w:numPr>
        <w:ind w:left="-13" w:leftChars="0" w:firstLine="643" w:firstLineChars="0"/>
        <w:outlineLvl w:val="0"/>
        <w:rPr>
          <w:rFonts w:hint="eastAsia" w:ascii="黑体" w:hAnsi="黑体" w:eastAsia="黑体" w:cs="黑体"/>
          <w:sz w:val="32"/>
          <w:szCs w:val="32"/>
        </w:rPr>
      </w:pPr>
      <w:r>
        <w:rPr>
          <w:rFonts w:hint="eastAsia" w:ascii="黑体" w:hAnsi="黑体" w:eastAsia="黑体" w:cs="黑体"/>
          <w:sz w:val="32"/>
          <w:szCs w:val="32"/>
        </w:rPr>
        <w:t>报送资料</w:t>
      </w:r>
    </w:p>
    <w:p>
      <w:pPr>
        <w:ind w:firstLine="640" w:firstLineChars="200"/>
        <w:rPr>
          <w:rFonts w:hint="eastAsia" w:ascii="华文仿宋" w:hAnsi="华文仿宋" w:eastAsia="华文仿宋" w:cs="华文仿宋"/>
          <w:sz w:val="32"/>
          <w:szCs w:val="32"/>
          <w:lang w:eastAsia="zh-Hans"/>
        </w:rPr>
      </w:pPr>
      <w:r>
        <w:rPr>
          <w:rFonts w:hint="eastAsia" w:ascii="华文仿宋" w:hAnsi="华文仿宋" w:eastAsia="华文仿宋" w:cs="华文仿宋"/>
          <w:sz w:val="32"/>
          <w:szCs w:val="32"/>
          <w:lang w:val="en-US" w:eastAsia="zh-Hans"/>
        </w:rPr>
        <w:t>无</w:t>
      </w:r>
      <w:r>
        <w:rPr>
          <w:rFonts w:hint="eastAsia" w:ascii="华文仿宋" w:hAnsi="华文仿宋" w:eastAsia="华文仿宋" w:cs="华文仿宋"/>
          <w:sz w:val="32"/>
          <w:szCs w:val="32"/>
          <w:lang w:eastAsia="zh-Hans"/>
        </w:rPr>
        <w:t>。</w:t>
      </w:r>
    </w:p>
    <w:p>
      <w:pPr>
        <w:pStyle w:val="3"/>
        <w:numPr>
          <w:ilvl w:val="0"/>
          <w:numId w:val="1"/>
        </w:numPr>
        <w:ind w:left="-13" w:leftChars="0" w:firstLine="643" w:firstLineChars="0"/>
        <w:outlineLvl w:val="0"/>
        <w:rPr>
          <w:rFonts w:hint="eastAsia" w:ascii="黑体" w:hAnsi="黑体" w:eastAsia="黑体" w:cs="黑体"/>
          <w:sz w:val="32"/>
          <w:szCs w:val="32"/>
          <w:lang w:eastAsia="zh-Hans"/>
        </w:rPr>
      </w:pPr>
      <w:r>
        <w:rPr>
          <w:rFonts w:hint="eastAsia" w:ascii="黑体" w:hAnsi="黑体" w:eastAsia="黑体" w:cs="黑体"/>
          <w:sz w:val="32"/>
          <w:szCs w:val="32"/>
          <w:lang w:eastAsia="zh-Hans"/>
        </w:rPr>
        <w:t>注意事项</w:t>
      </w:r>
    </w:p>
    <w:p>
      <w:pPr>
        <w:ind w:firstLine="640" w:firstLineChars="200"/>
        <w:rPr>
          <w:rFonts w:hint="default" w:ascii="仿宋_GB2312" w:hAnsi="仿宋_GB2312" w:eastAsia="仿宋_GB2312" w:cs="仿宋_GB2312"/>
          <w:sz w:val="32"/>
          <w:szCs w:val="32"/>
        </w:rPr>
      </w:pPr>
      <w:r>
        <w:rPr>
          <w:rFonts w:hint="eastAsia" w:ascii="华文仿宋" w:hAnsi="华文仿宋" w:eastAsia="华文仿宋" w:cs="华文仿宋"/>
          <w:sz w:val="32"/>
          <w:szCs w:val="32"/>
          <w:lang w:val="en-US" w:eastAsia="zh-CN"/>
        </w:rPr>
        <w:t>1.</w:t>
      </w:r>
      <w:r>
        <w:rPr>
          <w:rFonts w:hint="eastAsia" w:ascii="华文仿宋" w:hAnsi="华文仿宋" w:eastAsia="华文仿宋" w:cs="华文仿宋"/>
          <w:sz w:val="32"/>
          <w:szCs w:val="32"/>
          <w:lang w:val="en-US" w:eastAsia="zh-Hans"/>
        </w:rPr>
        <w:t>进入</w:t>
      </w:r>
      <w:r>
        <w:rPr>
          <w:rFonts w:hint="default" w:ascii="华文仿宋" w:hAnsi="华文仿宋" w:eastAsia="华文仿宋" w:cs="华文仿宋"/>
          <w:sz w:val="32"/>
          <w:szCs w:val="32"/>
          <w:lang w:val="en-US" w:eastAsia="zh-CN"/>
        </w:rPr>
        <w:t>纳税人放弃增值税免（减）税权声明模块后，</w:t>
      </w:r>
      <w:r>
        <w:rPr>
          <w:rFonts w:hint="eastAsia" w:ascii="华文仿宋" w:hAnsi="华文仿宋" w:eastAsia="华文仿宋" w:cs="华文仿宋"/>
          <w:sz w:val="32"/>
          <w:szCs w:val="32"/>
          <w:lang w:val="en-US" w:eastAsia="zh-Hans"/>
        </w:rPr>
        <w:t>会</w:t>
      </w:r>
      <w:r>
        <w:rPr>
          <w:rFonts w:hint="default" w:ascii="华文仿宋" w:hAnsi="华文仿宋" w:eastAsia="华文仿宋" w:cs="华文仿宋"/>
          <w:sz w:val="32"/>
          <w:szCs w:val="32"/>
          <w:lang w:val="en-US" w:eastAsia="zh-CN"/>
        </w:rPr>
        <w:t>提醒纳税人放弃免税、减税后，36个月内不得再申请免税、减税。该规定仅限于纳税人放弃的免（减）税项目，其他减免税项目不影响。</w:t>
      </w:r>
      <w:r>
        <w:rPr>
          <w:rFonts w:hint="default" w:ascii="仿宋_GB2312" w:hAnsi="仿宋_GB2312" w:eastAsia="仿宋_GB2312" w:cs="仿宋_GB2312"/>
          <w:sz w:val="32"/>
          <w:szCs w:val="32"/>
        </w:rPr>
        <w:br w:type="textWrapping"/>
      </w:r>
      <w:r>
        <w:rPr>
          <w:rFonts w:hint="default" w:ascii="仿宋_GB2312" w:hAnsi="仿宋_GB2312" w:eastAsia="仿宋_GB2312" w:cs="仿宋_GB2312"/>
          <w:sz w:val="32"/>
          <w:szCs w:val="32"/>
        </w:rPr>
        <w:t xml:space="preserve">    </w:t>
      </w:r>
    </w:p>
    <w:p>
      <w:pPr>
        <w:pStyle w:val="3"/>
        <w:numPr>
          <w:ilvl w:val="0"/>
          <w:numId w:val="1"/>
        </w:numPr>
        <w:ind w:left="-13" w:leftChars="0" w:firstLine="643" w:firstLineChars="0"/>
        <w:outlineLvl w:val="0"/>
        <w:rPr>
          <w:rFonts w:hint="eastAsia" w:ascii="黑体" w:hAnsi="黑体" w:eastAsia="黑体" w:cs="黑体"/>
          <w:sz w:val="32"/>
          <w:szCs w:val="32"/>
        </w:rPr>
      </w:pPr>
      <w:r>
        <w:rPr>
          <w:rFonts w:hint="eastAsia" w:ascii="黑体" w:hAnsi="黑体" w:eastAsia="黑体" w:cs="黑体"/>
          <w:sz w:val="32"/>
          <w:szCs w:val="32"/>
        </w:rPr>
        <w:t>常见问题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w:t>
      </w:r>
      <w:r>
        <w:rPr>
          <w:rFonts w:hint="eastAsia" w:ascii="华文仿宋" w:hAnsi="华文仿宋" w:eastAsia="华文仿宋" w:cs="华文仿宋"/>
          <w:sz w:val="32"/>
          <w:szCs w:val="32"/>
          <w:lang w:val="en-US" w:eastAsia="zh-Hans"/>
        </w:rPr>
        <w:t>满足申报条件</w:t>
      </w:r>
      <w:r>
        <w:rPr>
          <w:rFonts w:hint="eastAsia" w:ascii="华文仿宋" w:hAnsi="华文仿宋" w:eastAsia="华文仿宋" w:cs="华文仿宋"/>
          <w:sz w:val="32"/>
          <w:szCs w:val="32"/>
          <w:lang w:val="en-US" w:eastAsia="zh-CN"/>
        </w:rPr>
        <w:t>纳税人</w:t>
      </w:r>
      <w:r>
        <w:rPr>
          <w:rFonts w:hint="eastAsia" w:ascii="华文仿宋" w:hAnsi="华文仿宋" w:eastAsia="华文仿宋" w:cs="华文仿宋"/>
          <w:sz w:val="32"/>
          <w:szCs w:val="32"/>
          <w:lang w:val="en-US" w:eastAsia="zh-Hans"/>
        </w:rPr>
        <w:t>可以</w:t>
      </w:r>
      <w:r>
        <w:rPr>
          <w:rFonts w:hint="eastAsia" w:ascii="华文仿宋" w:hAnsi="华文仿宋" w:eastAsia="华文仿宋" w:cs="华文仿宋"/>
          <w:sz w:val="32"/>
          <w:szCs w:val="32"/>
          <w:lang w:val="en-US" w:eastAsia="zh-CN"/>
        </w:rPr>
        <w:t>办理此业务？</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答：纳税人</w:t>
      </w:r>
      <w:r>
        <w:rPr>
          <w:rFonts w:hint="eastAsia" w:ascii="华文仿宋" w:hAnsi="华文仿宋" w:eastAsia="华文仿宋" w:cs="华文仿宋"/>
          <w:sz w:val="32"/>
          <w:szCs w:val="32"/>
          <w:lang w:val="en-US" w:eastAsia="zh-Hans"/>
        </w:rPr>
        <w:t>不能为</w:t>
      </w:r>
      <w:r>
        <w:rPr>
          <w:rFonts w:hint="eastAsia" w:ascii="华文仿宋" w:hAnsi="华文仿宋" w:eastAsia="华文仿宋" w:cs="华文仿宋"/>
          <w:sz w:val="32"/>
          <w:szCs w:val="32"/>
          <w:lang w:val="en-US" w:eastAsia="zh-CN"/>
        </w:rPr>
        <w:t>纯扣缴义务人或受托方纳税人</w:t>
      </w:r>
      <w:r>
        <w:rPr>
          <w:rFonts w:hint="default" w:ascii="华文仿宋" w:hAnsi="华文仿宋" w:eastAsia="华文仿宋" w:cs="华文仿宋"/>
          <w:sz w:val="32"/>
          <w:szCs w:val="32"/>
          <w:lang w:val="en-US" w:eastAsia="zh-CN"/>
        </w:rPr>
        <w:t>，</w:t>
      </w:r>
      <w:r>
        <w:rPr>
          <w:rFonts w:hint="eastAsia" w:ascii="华文仿宋" w:hAnsi="华文仿宋" w:eastAsia="华文仿宋" w:cs="华文仿宋"/>
          <w:sz w:val="32"/>
          <w:szCs w:val="32"/>
          <w:lang w:val="en-US" w:eastAsia="zh-Hans"/>
        </w:rPr>
        <w:t>否则</w:t>
      </w:r>
      <w:r>
        <w:rPr>
          <w:rFonts w:hint="eastAsia" w:ascii="华文仿宋" w:hAnsi="华文仿宋" w:eastAsia="华文仿宋" w:cs="华文仿宋"/>
          <w:sz w:val="32"/>
          <w:szCs w:val="32"/>
          <w:lang w:val="en-US" w:eastAsia="zh-CN"/>
        </w:rPr>
        <w:t>不能办理此业务。</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ongti SC">
    <w:altName w:val="宋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2010609030101010101"/>
    <w:charset w:val="00"/>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1DA0EF"/>
    <w:multiLevelType w:val="singleLevel"/>
    <w:tmpl w:val="7C1DA0EF"/>
    <w:lvl w:ilvl="0" w:tentative="0">
      <w:start w:val="1"/>
      <w:numFmt w:val="chineseCounting"/>
      <w:suff w:val="nothing"/>
      <w:lvlText w:val="%1、"/>
      <w:lvlJc w:val="left"/>
      <w:pPr>
        <w:ind w:left="-13"/>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DI5NzYzNjA1NThlZTM2YWIxNGQ5ZGI1YzFlOWMifQ=="/>
  </w:docVars>
  <w:rsids>
    <w:rsidRoot w:val="BAFF4711"/>
    <w:rsid w:val="07F404B8"/>
    <w:rsid w:val="0D0C634F"/>
    <w:rsid w:val="10CD7582"/>
    <w:rsid w:val="14615093"/>
    <w:rsid w:val="213765B4"/>
    <w:rsid w:val="24E25DCB"/>
    <w:rsid w:val="2A8423C2"/>
    <w:rsid w:val="2BAA0BD7"/>
    <w:rsid w:val="34237336"/>
    <w:rsid w:val="386A1B23"/>
    <w:rsid w:val="3AF9F276"/>
    <w:rsid w:val="3BF7F788"/>
    <w:rsid w:val="3D5530ED"/>
    <w:rsid w:val="430261CC"/>
    <w:rsid w:val="4BB74F5C"/>
    <w:rsid w:val="4BF1551E"/>
    <w:rsid w:val="5EF9CBC9"/>
    <w:rsid w:val="5F2E28AF"/>
    <w:rsid w:val="6B5D89A3"/>
    <w:rsid w:val="6F7F179A"/>
    <w:rsid w:val="6FBD11F3"/>
    <w:rsid w:val="6FCF95A4"/>
    <w:rsid w:val="70B67DA0"/>
    <w:rsid w:val="741F6683"/>
    <w:rsid w:val="77FF0855"/>
    <w:rsid w:val="796C08D5"/>
    <w:rsid w:val="7AE7C337"/>
    <w:rsid w:val="7D9E7023"/>
    <w:rsid w:val="7FFD9C06"/>
    <w:rsid w:val="8FD6255F"/>
    <w:rsid w:val="ADB8547C"/>
    <w:rsid w:val="B2DEF8AF"/>
    <w:rsid w:val="BAFF4711"/>
    <w:rsid w:val="CADEA0EE"/>
    <w:rsid w:val="E4FEC98A"/>
    <w:rsid w:val="E87BEAE7"/>
    <w:rsid w:val="EBAD7F87"/>
    <w:rsid w:val="ECEE0D6D"/>
    <w:rsid w:val="F7BF8ACE"/>
    <w:rsid w:val="F7EB6317"/>
    <w:rsid w:val="FBDE150B"/>
    <w:rsid w:val="FD8F1CA5"/>
    <w:rsid w:val="FFFB18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keepNext/>
      <w:keepLines/>
      <w:spacing w:beforeLines="0" w:beforeAutospacing="0" w:afterLines="0" w:afterAutospacing="0" w:line="240" w:lineRule="auto"/>
      <w:outlineLvl w:val="1"/>
    </w:pPr>
    <w:rPr>
      <w:rFonts w:ascii="Arial" w:hAnsi="Arial" w:eastAsia="黑体"/>
      <w:b/>
      <w:sz w:val="28"/>
    </w:rPr>
  </w:style>
  <w:style w:type="character" w:default="1" w:styleId="7">
    <w:name w:val="Default Paragraph Font"/>
    <w:semiHidden/>
    <w:qFormat/>
    <w:uiPriority w:val="0"/>
  </w:style>
  <w:style w:type="table" w:default="1" w:styleId="6">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Normal Indent1"/>
    <w:autoRedefine/>
    <w:qFormat/>
    <w:uiPriority w:val="0"/>
    <w:pPr>
      <w:spacing w:line="360" w:lineRule="auto"/>
      <w:ind w:firstLine="883" w:firstLineChars="200"/>
    </w:pPr>
    <w:rPr>
      <w:rFonts w:ascii="Songti SC" w:hAnsi="Songti SC" w:eastAsia="宋体" w:cs="Songti SC"/>
      <w:sz w:val="24"/>
      <w:szCs w:val="24"/>
      <w:lang w:val="en-US" w:eastAsia="zh-CN" w:bidi="ar-SA"/>
    </w:rPr>
  </w:style>
  <w:style w:type="paragraph" w:styleId="4">
    <w:name w:val="annotation text"/>
    <w:basedOn w:val="1"/>
    <w:qFormat/>
    <w:uiPriority w:val="0"/>
  </w:style>
  <w:style w:type="paragraph" w:styleId="5">
    <w:name w:val="Body Text"/>
    <w:basedOn w:val="1"/>
    <w:next w:val="1"/>
    <w:autoRedefine/>
    <w:qFormat/>
    <w:uiPriority w:val="99"/>
    <w:pPr>
      <w:spacing w:after="120"/>
    </w:pPr>
    <w:rPr>
      <w:rFonts w:ascii="Arial" w:hAnsi="Arial"/>
    </w:rPr>
  </w:style>
  <w:style w:type="character" w:styleId="8">
    <w:name w:val="annotation reference"/>
    <w:basedOn w:val="7"/>
    <w:qFormat/>
    <w:uiPriority w:val="0"/>
    <w:rPr>
      <w:sz w:val="21"/>
      <w:szCs w:val="21"/>
    </w:rPr>
  </w:style>
  <w:style w:type="paragraph" w:customStyle="1" w:styleId="9">
    <w:name w:val="_Style 3"/>
    <w:basedOn w:val="1"/>
    <w:qFormat/>
    <w:uiPriority w:val="0"/>
    <w:pPr>
      <w:ind w:firstLine="420" w:firstLineChars="200"/>
    </w:pPr>
    <w:rPr>
      <w:szCs w:val="22"/>
    </w:rPr>
  </w:style>
  <w:style w:type="paragraph" w:customStyle="1" w:styleId="10">
    <w:name w:val="表格文字 左对齐"/>
    <w:basedOn w:val="11"/>
    <w:qFormat/>
    <w:uiPriority w:val="0"/>
    <w:pPr>
      <w:keepNext w:val="0"/>
      <w:keepLines w:val="0"/>
      <w:widowControl w:val="0"/>
      <w:suppressLineNumbers w:val="0"/>
      <w:spacing w:before="0" w:beforeAutospacing="0" w:after="0" w:afterAutospacing="0"/>
      <w:ind w:left="0" w:right="0"/>
      <w:jc w:val="left"/>
    </w:pPr>
    <w:rPr>
      <w:rFonts w:hint="default" w:ascii="Arial" w:hAnsi="Arial" w:eastAsia="Times New Roman" w:cs="Arial"/>
      <w:kern w:val="0"/>
      <w:sz w:val="18"/>
      <w:szCs w:val="18"/>
      <w:lang w:val="en-US" w:eastAsia="zh-CN" w:bidi="ar"/>
    </w:rPr>
  </w:style>
  <w:style w:type="paragraph" w:customStyle="1" w:styleId="11">
    <w:name w:val="正文_1"/>
    <w:autoRedefine/>
    <w:qFormat/>
    <w:uiPriority w:val="0"/>
    <w:rPr>
      <w:rFonts w:ascii="Times New Roman" w:hAnsi="Times New Roman" w:eastAsia="Times New Roman" w:cs="Times New Roman"/>
      <w:sz w:val="24"/>
      <w:szCs w:val="24"/>
      <w:lang w:val="en-US" w:eastAsia="zh-CN" w:bidi="ar-SA"/>
    </w:rPr>
  </w:style>
  <w:style w:type="paragraph" w:customStyle="1" w:styleId="12">
    <w:name w:val="表格文字 居中"/>
    <w:basedOn w:val="11"/>
    <w:qFormat/>
    <w:uiPriority w:val="0"/>
    <w:pPr>
      <w:spacing w:before="0" w:beforeAutospacing="0" w:after="0" w:afterAutospacing="0"/>
      <w:ind w:left="0" w:right="0" w:firstLine="0"/>
      <w:jc w:val="center"/>
    </w:pPr>
    <w:rPr>
      <w:rFonts w:hint="default" w:ascii="Times New Roman" w:hAnsi="Times New Roman" w:eastAsia="宋体" w:cs="宋体"/>
      <w:kern w:val="2"/>
      <w:sz w:val="21"/>
      <w:szCs w:val="21"/>
      <w:lang w:val="en-US" w:eastAsia="zh-CN" w:bidi="ar"/>
    </w:rPr>
  </w:style>
  <w:style w:type="paragraph" w:customStyle="1" w:styleId="13">
    <w:name w:val="表格列标题"/>
    <w:basedOn w:val="11"/>
    <w:autoRedefine/>
    <w:qFormat/>
    <w:uiPriority w:val="0"/>
    <w:pPr>
      <w:jc w:val="center"/>
    </w:pPr>
    <w:rPr>
      <w:rFonts w:ascii="Arial" w:hAnsi="Arial" w:cs="Arial"/>
      <w:b/>
      <w:sz w:val="18"/>
    </w:rPr>
  </w:style>
  <w:style w:type="paragraph" w:customStyle="1" w:styleId="14">
    <w:name w:val="表格标题栏"/>
    <w:autoRedefine/>
    <w:qFormat/>
    <w:uiPriority w:val="0"/>
    <w:pPr>
      <w:jc w:val="center"/>
    </w:pPr>
    <w:rPr>
      <w:rFonts w:ascii="Times New Roman" w:hAnsi="Times New Roman" w:eastAsia="宋体" w:cs="宋体"/>
      <w:b/>
      <w:bCs/>
      <w:kern w:val="2"/>
      <w:sz w:val="21"/>
      <w:lang w:val="en-US" w:eastAsia="zh-CN" w:bidi="ar-SA"/>
    </w:rPr>
  </w:style>
  <w:style w:type="paragraph" w:customStyle="1" w:styleId="15">
    <w:name w:val="表格正文-中间对齐"/>
    <w:autoRedefine/>
    <w:qFormat/>
    <w:uiPriority w:val="0"/>
    <w:pPr>
      <w:jc w:val="center"/>
    </w:pPr>
    <w:rPr>
      <w:rFonts w:ascii="Times New Roman" w:hAnsi="Times New Roman" w:eastAsia="宋体" w:cs="宋体"/>
      <w:kern w:val="2"/>
      <w:sz w:val="21"/>
      <w:lang w:val="en-US" w:eastAsia="zh-CN" w:bidi="ar-SA"/>
    </w:rPr>
  </w:style>
  <w:style w:type="paragraph" w:customStyle="1" w:styleId="16">
    <w:name w:val="表格正文-左对齐"/>
    <w:qFormat/>
    <w:uiPriority w:val="0"/>
    <w:rPr>
      <w:rFonts w:ascii="Times New Roman" w:hAnsi="Times New Roman" w:eastAsia="宋体" w:cs="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1215</Words>
  <Characters>1251</Characters>
  <Lines>0</Lines>
  <Paragraphs>0</Paragraphs>
  <TotalTime>0</TotalTime>
  <ScaleCrop>false</ScaleCrop>
  <LinksUpToDate>false</LinksUpToDate>
  <CharactersWithSpaces>1258</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2023-03-20T06:59:00Z</dcterms:created>
  <dc:creator>白白胖胖</dc:creator>
  <cp:lastModifiedBy>WPS_1711364027</cp:lastModifiedBy>
  <dcterms:modified xsi:type="dcterms:W3CDTF">2024-04-11T02:40:46Z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9F0565C34EB0DCDE4861156402DC541F_41</vt:lpwstr>
  </property>
</Properties>
</file>