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spacing w:line="560" w:lineRule="exact"/>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eastAsia="zh-CN"/>
        </w:rPr>
        <w:t>件</w:t>
      </w:r>
      <w:r>
        <w:rPr>
          <w:rFonts w:hint="eastAsia" w:ascii="黑体" w:hAnsi="黑体" w:eastAsia="黑体" w:cs="黑体"/>
          <w:color w:val="auto"/>
          <w:sz w:val="32"/>
          <w:szCs w:val="32"/>
          <w:highlight w:val="none"/>
          <w:lang w:val="en-US" w:eastAsia="zh-CN"/>
        </w:rPr>
        <w:t>2</w:t>
      </w:r>
    </w:p>
    <w:p>
      <w:pPr>
        <w:pStyle w:val="2"/>
        <w:bidi w:val="0"/>
        <w:spacing w:line="560" w:lineRule="exact"/>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税务事项通知书</w:t>
      </w:r>
    </w:p>
    <w:p>
      <w:pPr>
        <w:pStyle w:val="2"/>
        <w:bidi w:val="0"/>
        <w:spacing w:line="560" w:lineRule="exact"/>
        <w:jc w:val="center"/>
        <w:rPr>
          <w:rFonts w:hint="eastAsia"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（适用于通知存量房交易计税价格争议处理决定）</w:t>
      </w:r>
    </w:p>
    <w:p>
      <w:pPr>
        <w:pStyle w:val="2"/>
        <w:bidi w:val="0"/>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）税通〔   〕   号</w:t>
      </w:r>
    </w:p>
    <w:p>
      <w:pPr>
        <w:pStyle w:val="2"/>
        <w:bidi w:val="0"/>
        <w:spacing w:line="560" w:lineRule="exact"/>
        <w:rPr>
          <w:rFonts w:hint="eastAsia" w:ascii="宋体" w:hAnsi="宋体" w:eastAsia="宋体" w:cs="宋体"/>
          <w:color w:val="auto"/>
          <w:kern w:val="2"/>
          <w:sz w:val="24"/>
          <w:szCs w:val="24"/>
          <w:highlight w:val="none"/>
          <w:lang w:val="en-US" w:eastAsia="zh-CN" w:bidi="ar-SA"/>
        </w:rPr>
      </w:pPr>
    </w:p>
    <w:p>
      <w:pPr>
        <w:pStyle w:val="2"/>
        <w:bidi w:val="0"/>
        <w:spacing w:line="560" w:lineRule="exact"/>
        <w:rPr>
          <w:rFonts w:hint="eastAsia" w:ascii="宋体" w:hAnsi="宋体" w:eastAsia="宋体" w:cs="宋体"/>
          <w:color w:val="auto"/>
          <w:kern w:val="2"/>
          <w:sz w:val="24"/>
          <w:szCs w:val="24"/>
          <w:highlight w:val="none"/>
          <w:lang w:val="en-US" w:eastAsia="zh-CN" w:bidi="ar-SA"/>
        </w:rPr>
      </w:pP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：（纳税人识别号：               ）</w:t>
      </w: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事由：存量房交易计税价格争议处理决定通知</w:t>
      </w:r>
    </w:p>
    <w:p>
      <w:pPr>
        <w:pStyle w:val="2"/>
        <w:bidi w:val="0"/>
        <w:spacing w:line="560" w:lineRule="exact"/>
        <w:rPr>
          <w:rFonts w:hint="eastAsia" w:ascii="宋体" w:hAnsi="宋体" w:eastAsia="宋体" w:cs="宋体"/>
          <w:color w:val="auto"/>
          <w:kern w:val="2"/>
          <w:sz w:val="24"/>
          <w:szCs w:val="24"/>
          <w:highlight w:val="none"/>
          <w:lang w:val="en-US" w:eastAsia="zh-CN" w:bidi="ar-SA"/>
        </w:rPr>
      </w:pP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依据:《国家税务总局辽阳市税务局</w:t>
      </w:r>
      <w:bookmarkStart w:id="0" w:name="_GoBack"/>
      <w:bookmarkEnd w:id="0"/>
      <w:r>
        <w:rPr>
          <w:rFonts w:hint="eastAsia" w:ascii="宋体" w:hAnsi="宋体" w:eastAsia="宋体" w:cs="宋体"/>
          <w:color w:val="auto"/>
          <w:kern w:val="2"/>
          <w:sz w:val="24"/>
          <w:szCs w:val="24"/>
          <w:highlight w:val="none"/>
          <w:lang w:val="en-US" w:eastAsia="zh-CN" w:bidi="ar-SA"/>
        </w:rPr>
        <w:t>关于发布〈辽阳市存量房交易计税价格争议处理办法（试行）〉的公告》（202</w:t>
      </w:r>
      <w:r>
        <w:rPr>
          <w:rFonts w:hint="eastAsia" w:hAnsi="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eastAsia="zh-CN" w:bidi="ar-SA"/>
        </w:rPr>
        <w:t>年第</w:t>
      </w:r>
      <w:r>
        <w:rPr>
          <w:rFonts w:hint="eastAsia" w:hAnsi="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号）第十二条规定</w:t>
      </w:r>
    </w:p>
    <w:p>
      <w:pPr>
        <w:pStyle w:val="2"/>
        <w:bidi w:val="0"/>
        <w:spacing w:line="560" w:lineRule="exact"/>
        <w:rPr>
          <w:rFonts w:hint="eastAsia" w:ascii="宋体" w:hAnsi="宋体" w:eastAsia="宋体" w:cs="宋体"/>
          <w:color w:val="auto"/>
          <w:kern w:val="2"/>
          <w:sz w:val="24"/>
          <w:szCs w:val="24"/>
          <w:highlight w:val="none"/>
          <w:lang w:val="en-US" w:eastAsia="zh-CN" w:bidi="ar-SA"/>
        </w:rPr>
      </w:pP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通知内容：根据《中华人民共和国税收征收管理法》第三十五条规定，我局对你（单位）提请的争议事项及相关证据资料进行了审核，现将有关处理决定通知如下：</w:t>
      </w:r>
    </w:p>
    <w:p>
      <w:pPr>
        <w:pStyle w:val="2"/>
        <w:bidi w:val="0"/>
        <w:spacing w:line="560" w:lineRule="exact"/>
        <w:ind w:firstLine="0" w:firstLineChars="0"/>
        <w:rPr>
          <w:rFonts w:hint="eastAsia" w:ascii="宋体" w:hAnsi="宋体" w:eastAsia="宋体" w:cs="宋体"/>
          <w:color w:val="auto"/>
          <w:kern w:val="2"/>
          <w:sz w:val="24"/>
          <w:szCs w:val="24"/>
          <w:highlight w:val="none"/>
          <w:lang w:val="en-US" w:eastAsia="zh-CN" w:bidi="ar-SA"/>
        </w:rPr>
      </w:pPr>
    </w:p>
    <w:p>
      <w:pPr>
        <w:pStyle w:val="2"/>
        <w:bidi w:val="0"/>
        <w:spacing w:line="560" w:lineRule="exact"/>
        <w:ind w:firstLine="446"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若你（单位）对税务机关作出的争议处理决定仍有异议，应先依照争议处理决定确定的交易计税价格申报缴纳税款及滞纳金或者提供相应的担保，然后可自上述款项缴清或者提供相应担保被税务机关确认之日起六十日内依法向上一级税务机关申请行政复议。对行政复议决定不服的，可以依法提起行政诉讼。</w:t>
      </w: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w:t>
      </w: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税务机关（签章）</w:t>
      </w: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年   月   日</w:t>
      </w:r>
    </w:p>
    <w:p>
      <w:pPr>
        <w:pStyle w:val="2"/>
        <w:bidi w:val="0"/>
        <w:spacing w:line="560" w:lineRule="exact"/>
        <w:rPr>
          <w:rFonts w:hint="eastAsia" w:ascii="宋体" w:hAnsi="宋体" w:eastAsia="宋体" w:cs="宋体"/>
          <w:color w:val="auto"/>
          <w:sz w:val="24"/>
          <w:szCs w:val="24"/>
          <w:highlight w:val="none"/>
        </w:rPr>
      </w:pPr>
    </w:p>
    <w:p/>
    <w:sectPr>
      <w:footerReference r:id="rId3" w:type="default"/>
      <w:footerReference r:id="rId4" w:type="even"/>
      <w:pgSz w:w="11906" w:h="16838"/>
      <w:pgMar w:top="2041" w:right="1531" w:bottom="2041" w:left="1531" w:header="851" w:footer="992" w:gutter="0"/>
      <w:cols w:space="720" w:num="1"/>
      <w:docGrid w:type="linesAndChars" w:linePitch="579" w:charSpace="-36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Fonts w:ascii="宋体" w:hAnsi="宋体"/>
        <w:sz w:val="28"/>
        <w:szCs w:val="28"/>
      </w:rPr>
    </w:pPr>
    <w:r>
      <w:rPr>
        <w:rStyle w:val="6"/>
        <w:rFonts w:hint="eastAsia" w:ascii="宋体" w:hAnsi="宋体"/>
        <w:sz w:val="28"/>
        <w:szCs w:val="28"/>
      </w:rPr>
      <w:t>－</w:t>
    </w:r>
    <w:r>
      <w:rPr>
        <w:rStyle w:val="6"/>
        <w:rFonts w:ascii="宋体" w:hAnsi="宋体"/>
        <w:sz w:val="28"/>
        <w:szCs w:val="28"/>
      </w:rPr>
      <w:fldChar w:fldCharType="begin"/>
    </w:r>
    <w:r>
      <w:rPr>
        <w:rStyle w:val="6"/>
        <w:rFonts w:ascii="宋体" w:hAnsi="宋体"/>
        <w:sz w:val="28"/>
        <w:szCs w:val="28"/>
      </w:rPr>
      <w:instrText xml:space="preserve">PAGE  </w:instrText>
    </w:r>
    <w:r>
      <w:rPr>
        <w:rStyle w:val="6"/>
        <w:rFonts w:ascii="宋体" w:hAnsi="宋体"/>
        <w:sz w:val="28"/>
        <w:szCs w:val="28"/>
      </w:rPr>
      <w:fldChar w:fldCharType="separate"/>
    </w:r>
    <w:r>
      <w:rPr>
        <w:rStyle w:val="6"/>
        <w:rFonts w:ascii="宋体" w:hAnsi="宋体"/>
        <w:sz w:val="28"/>
        <w:szCs w:val="28"/>
      </w:rPr>
      <w:t>13</w:t>
    </w:r>
    <w:r>
      <w:rPr>
        <w:rStyle w:val="6"/>
        <w:rFonts w:ascii="宋体" w:hAnsi="宋体"/>
        <w:sz w:val="28"/>
        <w:szCs w:val="28"/>
      </w:rPr>
      <w:fldChar w:fldCharType="end"/>
    </w:r>
    <w:r>
      <w:rPr>
        <w:rStyle w:val="6"/>
        <w:rFonts w:hint="eastAsia" w:ascii="宋体" w:hAnsi="宋体"/>
        <w:sz w:val="28"/>
        <w:szCs w:val="28"/>
      </w:rPr>
      <w:t>－</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851781"/>
    <w:rsid w:val="05680AFE"/>
    <w:rsid w:val="1BAC2374"/>
    <w:rsid w:val="27A24A92"/>
    <w:rsid w:val="2B851781"/>
    <w:rsid w:val="368B7EC5"/>
    <w:rsid w:val="454B519F"/>
    <w:rsid w:val="5F05361C"/>
    <w:rsid w:val="6FEE4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Cs w:val="21"/>
    </w:rPr>
  </w:style>
  <w:style w:type="paragraph" w:styleId="3">
    <w:name w:val="footer"/>
    <w:basedOn w:val="1"/>
    <w:qFormat/>
    <w:uiPriority w:val="0"/>
    <w:pPr>
      <w:tabs>
        <w:tab w:val="center" w:pos="4153"/>
        <w:tab w:val="right" w:pos="8306"/>
      </w:tabs>
      <w:snapToGrid w:val="0"/>
      <w:jc w:val="left"/>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2024-12-31T01:27:00Z</dcterms:created>
  <dc:creator>Administrator</dc:creator>
  <cp:lastModifiedBy>Administrator</cp:lastModifiedBy>
  <dcterms:modified xsi:type="dcterms:W3CDTF">2025-01-09T00:35:39Z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