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bidi w:val="0"/>
        <w:spacing w:line="560" w:lineRule="exact"/>
        <w:rPr>
          <w:rFonts w:hint="eastAsia" w:ascii="仿宋" w:hAnsi="仿宋" w:eastAsia="仿宋" w:cs="仿宋"/>
          <w:b/>
          <w:bCs/>
          <w:color w:val="auto"/>
          <w:sz w:val="30"/>
          <w:szCs w:val="30"/>
          <w:lang w:eastAsia="zh-CN"/>
        </w:rPr>
      </w:pPr>
      <w:r>
        <w:rPr>
          <w:rFonts w:hint="eastAsia" w:ascii="仿宋" w:hAnsi="仿宋" w:eastAsia="仿宋" w:cs="仿宋"/>
          <w:b/>
          <w:bCs/>
          <w:color w:val="auto"/>
          <w:sz w:val="30"/>
          <w:szCs w:val="30"/>
        </w:rPr>
        <w:t>附件</w:t>
      </w:r>
      <w:r>
        <w:rPr>
          <w:rFonts w:hint="eastAsia" w:ascii="仿宋" w:hAnsi="仿宋" w:eastAsia="仿宋" w:cs="仿宋"/>
          <w:b/>
          <w:bCs/>
          <w:color w:val="auto"/>
          <w:sz w:val="30"/>
          <w:szCs w:val="30"/>
          <w:lang w:val="en-US" w:eastAsia="zh-CN"/>
        </w:rPr>
        <w:t>2</w:t>
      </w:r>
    </w:p>
    <w:p>
      <w:pPr>
        <w:pStyle w:val="2"/>
        <w:bidi w:val="0"/>
        <w:jc w:val="center"/>
        <w:rPr>
          <w:rFonts w:hint="eastAsia" w:ascii="方正小标宋简体" w:hAnsi="Calibri" w:eastAsia="方正小标宋简体"/>
          <w:b w:val="0"/>
          <w:color w:val="auto"/>
          <w:kern w:val="0"/>
          <w:szCs w:val="32"/>
          <w:highlight w:val="none"/>
        </w:rPr>
      </w:pPr>
      <w:bookmarkStart w:id="0" w:name="_Toc18648"/>
      <w:r>
        <w:rPr>
          <w:rFonts w:hint="eastAsia" w:ascii="方正小标宋简体" w:hAnsi="Calibri" w:eastAsia="方正小标宋简体"/>
          <w:b w:val="0"/>
          <w:color w:val="auto"/>
          <w:kern w:val="0"/>
          <w:szCs w:val="32"/>
          <w:highlight w:val="none"/>
        </w:rPr>
        <w:t>《</w:t>
      </w:r>
      <w:r>
        <w:rPr>
          <w:rFonts w:hint="eastAsia" w:ascii="方正小标宋简体" w:hAnsi="Calibri" w:eastAsia="方正小标宋简体"/>
          <w:b w:val="0"/>
          <w:color w:val="auto"/>
          <w:kern w:val="0"/>
          <w:szCs w:val="32"/>
          <w:highlight w:val="none"/>
          <w:lang w:eastAsia="zh-CN"/>
        </w:rPr>
        <w:t>辽阳</w:t>
      </w:r>
      <w:r>
        <w:rPr>
          <w:rFonts w:hint="eastAsia" w:ascii="方正小标宋简体" w:hAnsi="Calibri" w:eastAsia="方正小标宋简体"/>
          <w:b w:val="0"/>
          <w:color w:val="auto"/>
          <w:kern w:val="0"/>
          <w:szCs w:val="32"/>
          <w:highlight w:val="none"/>
        </w:rPr>
        <w:t>市存量房交易计税价格争议处理办法</w:t>
      </w:r>
      <w:r>
        <w:rPr>
          <w:rFonts w:hint="eastAsia" w:ascii="方正小标宋简体" w:hAnsi="Calibri" w:eastAsia="方正小标宋简体"/>
          <w:b w:val="0"/>
          <w:color w:val="auto"/>
          <w:kern w:val="0"/>
          <w:sz w:val="32"/>
          <w:szCs w:val="32"/>
          <w:highlight w:val="none"/>
          <w:lang w:eastAsia="zh-CN"/>
        </w:rPr>
        <w:t>（征求意见稿）</w:t>
      </w:r>
      <w:r>
        <w:rPr>
          <w:rFonts w:hint="eastAsia" w:ascii="方正小标宋简体" w:hAnsi="Calibri" w:eastAsia="方正小标宋简体"/>
          <w:b w:val="0"/>
          <w:color w:val="auto"/>
          <w:kern w:val="0"/>
          <w:szCs w:val="32"/>
          <w:highlight w:val="none"/>
        </w:rPr>
        <w:t>》解读</w:t>
      </w:r>
      <w:bookmarkEnd w:id="0"/>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一、公告的出台背景是什么？</w:t>
      </w:r>
    </w:p>
    <w:p>
      <w:pPr>
        <w:pStyle w:val="3"/>
        <w:bidi w:val="0"/>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存量房交易涉及纳税人，主要是自然人纳税人的切身利益，征纳矛盾相对集中，存量房交易计税价格的认定意义重大。根据《中华人民共和国税收征收管理法》《中华人民共和国税收征收管理法实施细则》、《国家发改委 国家税务总局关于开展涉税财物价格认定工作的指导意见》（发改价格〔2010〕770号）</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《财政部 国家税务总局关于推进应用房地产评估技术加强存量房交易税收征管工作的通知》（财税〔2010〕105号）</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《关于推广应用房地产估价技术加强存量房交易税收征管工作的通知》（财税〔2011〕61号）</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《国家税务总局关于进一步加强存量房交易税收征管工作的通知》（税总发〔2013〕129号）</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辽宁省物价局 辽宁省国家税务局 辽宁省地方税务局 辽宁省财政厅关于印发&lt;辽宁省涉税财物价格认定管理办法&gt;的通知》（辽价发〔2010〕83号）</w:t>
      </w:r>
      <w:r>
        <w:rPr>
          <w:rFonts w:hint="eastAsia" w:ascii="宋体" w:hAnsi="宋体" w:eastAsia="宋体" w:cs="宋体"/>
          <w:color w:val="auto"/>
          <w:sz w:val="24"/>
          <w:highlight w:val="none"/>
        </w:rPr>
        <w:t>等相关法律法规规定，结合我市实际，起草了《</w:t>
      </w:r>
      <w:r>
        <w:rPr>
          <w:rFonts w:hint="eastAsia" w:ascii="宋体" w:hAnsi="宋体" w:eastAsia="宋体" w:cs="宋体"/>
          <w:color w:val="auto"/>
          <w:sz w:val="24"/>
          <w:highlight w:val="none"/>
          <w:lang w:eastAsia="zh-CN"/>
        </w:rPr>
        <w:t>辽阳</w:t>
      </w:r>
      <w:r>
        <w:rPr>
          <w:rFonts w:hint="eastAsia" w:ascii="宋体" w:hAnsi="宋体" w:eastAsia="宋体" w:cs="宋体"/>
          <w:color w:val="auto"/>
          <w:sz w:val="24"/>
          <w:highlight w:val="none"/>
        </w:rPr>
        <w:t>市存量房交易计税价格争议处理办法》(以下简称《办法》)，以明确存量房交易计税价格争议发生时的</w:t>
      </w:r>
      <w:r>
        <w:rPr>
          <w:rFonts w:hint="eastAsia" w:ascii="宋体" w:hAnsi="宋体" w:eastAsia="宋体" w:cs="宋体"/>
          <w:color w:val="auto"/>
          <w:sz w:val="24"/>
          <w:highlight w:val="none"/>
          <w:lang w:eastAsia="zh-CN"/>
        </w:rPr>
        <w:t>处理</w:t>
      </w:r>
      <w:r>
        <w:rPr>
          <w:rFonts w:hint="eastAsia" w:ascii="宋体" w:hAnsi="宋体" w:eastAsia="宋体" w:cs="宋体"/>
          <w:color w:val="auto"/>
          <w:sz w:val="24"/>
          <w:highlight w:val="none"/>
        </w:rPr>
        <w:t>办法，便于基层税务机关和纳税人操作，保障纳税人合法权益，妥善解决征纳双方对计税价格的异议。</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二、《办法》出台的目的是什么？</w:t>
      </w:r>
    </w:p>
    <w:p>
      <w:pPr>
        <w:pStyle w:val="3"/>
        <w:bidi w:val="0"/>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规范我市存量房交易税收交易，解决征纳双方对计税价格的争议，切实保障纳税人合法权益，遵循公平、简便和效率原则，制定本办法。</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三、《办法》的主要内容有哪些？</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《办法》共有十</w:t>
      </w:r>
      <w:r>
        <w:rPr>
          <w:rFonts w:hint="eastAsia" w:ascii="宋体" w:hAnsi="宋体" w:eastAsia="宋体" w:cs="宋体"/>
          <w:color w:val="auto"/>
          <w:sz w:val="24"/>
          <w:highlight w:val="none"/>
          <w:lang w:eastAsia="zh-CN"/>
        </w:rPr>
        <w:t>六</w:t>
      </w:r>
      <w:r>
        <w:rPr>
          <w:rFonts w:hint="eastAsia" w:ascii="宋体" w:hAnsi="宋体" w:eastAsia="宋体" w:cs="宋体"/>
          <w:color w:val="auto"/>
          <w:sz w:val="24"/>
          <w:highlight w:val="none"/>
        </w:rPr>
        <w:t>条。</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（一）</w:t>
      </w:r>
      <w:r>
        <w:rPr>
          <w:rFonts w:hint="eastAsia" w:ascii="宋体" w:hAnsi="宋体" w:eastAsia="宋体" w:cs="宋体"/>
          <w:color w:val="auto"/>
          <w:sz w:val="24"/>
          <w:highlight w:val="none"/>
        </w:rPr>
        <w:t>第一条明确了《办法》的制定的依据。</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（二）</w:t>
      </w:r>
      <w:r>
        <w:rPr>
          <w:rFonts w:hint="eastAsia" w:ascii="宋体" w:hAnsi="宋体" w:eastAsia="宋体" w:cs="宋体"/>
          <w:color w:val="auto"/>
          <w:sz w:val="24"/>
          <w:highlight w:val="none"/>
        </w:rPr>
        <w:t>第二条明确了《办法》</w:t>
      </w:r>
      <w:r>
        <w:rPr>
          <w:rFonts w:hint="eastAsia" w:ascii="宋体" w:hAnsi="宋体" w:eastAsia="宋体" w:cs="宋体"/>
          <w:color w:val="auto"/>
          <w:sz w:val="24"/>
          <w:highlight w:val="none"/>
          <w:lang w:eastAsia="zh-CN"/>
        </w:rPr>
        <w:t>的适用范围</w:t>
      </w:r>
      <w:r>
        <w:rPr>
          <w:rFonts w:hint="eastAsia" w:ascii="宋体" w:hAnsi="宋体" w:eastAsia="宋体" w:cs="宋体"/>
          <w:color w:val="auto"/>
          <w:sz w:val="24"/>
          <w:highlight w:val="none"/>
        </w:rPr>
        <w:t>。</w:t>
      </w:r>
    </w:p>
    <w:p>
      <w:pPr>
        <w:pStyle w:val="3"/>
        <w:bidi w:val="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rPr>
        <w:t>（三）第三条明确了存量房</w:t>
      </w:r>
      <w:r>
        <w:rPr>
          <w:rFonts w:hint="eastAsia" w:ascii="宋体" w:hAnsi="宋体" w:eastAsia="宋体" w:cs="宋体"/>
          <w:color w:val="auto"/>
          <w:sz w:val="24"/>
          <w:highlight w:val="none"/>
          <w:lang w:eastAsia="zh-CN"/>
        </w:rPr>
        <w:t>的概念</w:t>
      </w:r>
      <w:r>
        <w:rPr>
          <w:rFonts w:hint="eastAsia" w:ascii="宋体" w:hAnsi="宋体" w:eastAsia="宋体" w:cs="宋体"/>
          <w:color w:val="auto"/>
          <w:sz w:val="24"/>
          <w:highlight w:val="none"/>
          <w:lang w:val="en-US" w:eastAsia="zh-CN"/>
        </w:rPr>
        <w:t>。</w:t>
      </w:r>
    </w:p>
    <w:p>
      <w:pPr>
        <w:pStyle w:val="3"/>
        <w:bidi w:val="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四</w:t>
      </w:r>
      <w:r>
        <w:rPr>
          <w:rFonts w:hint="eastAsia" w:ascii="宋体" w:hAnsi="宋体" w:eastAsia="宋体" w:cs="宋体"/>
          <w:color w:val="auto"/>
          <w:sz w:val="24"/>
          <w:highlight w:val="none"/>
        </w:rPr>
        <w:t>）第四条明确了</w:t>
      </w:r>
      <w:r>
        <w:rPr>
          <w:rFonts w:hint="eastAsia" w:ascii="宋体" w:hAnsi="宋体" w:eastAsia="宋体" w:cs="宋体"/>
          <w:color w:val="auto"/>
          <w:sz w:val="24"/>
          <w:highlight w:val="none"/>
          <w:lang w:eastAsia="zh-CN"/>
        </w:rPr>
        <w:t>存量房</w:t>
      </w:r>
      <w:r>
        <w:rPr>
          <w:rFonts w:hint="eastAsia" w:ascii="宋体" w:hAnsi="宋体" w:eastAsia="宋体" w:cs="宋体"/>
          <w:color w:val="auto"/>
          <w:kern w:val="2"/>
          <w:sz w:val="24"/>
          <w:szCs w:val="24"/>
          <w:highlight w:val="none"/>
          <w:lang w:val="en-US" w:eastAsia="zh-CN" w:bidi="ar-SA"/>
        </w:rPr>
        <w:t>核定</w:t>
      </w:r>
      <w:r>
        <w:rPr>
          <w:rFonts w:hint="eastAsia" w:ascii="宋体" w:hAnsi="宋体" w:eastAsia="宋体" w:cs="宋体"/>
          <w:color w:val="auto"/>
          <w:sz w:val="24"/>
          <w:highlight w:val="none"/>
          <w:lang w:eastAsia="zh-CN"/>
        </w:rPr>
        <w:t>计税价格争议的概念。</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五</w:t>
      </w:r>
      <w:r>
        <w:rPr>
          <w:rFonts w:hint="eastAsia" w:ascii="宋体" w:hAnsi="宋体" w:eastAsia="宋体" w:cs="宋体"/>
          <w:color w:val="auto"/>
          <w:sz w:val="24"/>
          <w:highlight w:val="none"/>
        </w:rPr>
        <w:t>）第五、六、</w:t>
      </w:r>
      <w:r>
        <w:rPr>
          <w:rFonts w:hint="eastAsia" w:ascii="宋体" w:hAnsi="宋体" w:eastAsia="宋体" w:cs="宋体"/>
          <w:color w:val="auto"/>
          <w:sz w:val="24"/>
          <w:highlight w:val="none"/>
          <w:lang w:eastAsia="zh-CN"/>
        </w:rPr>
        <w:t>七、八</w:t>
      </w:r>
      <w:r>
        <w:rPr>
          <w:rFonts w:hint="eastAsia" w:ascii="宋体" w:hAnsi="宋体" w:eastAsia="宋体" w:cs="宋体"/>
          <w:color w:val="auto"/>
          <w:sz w:val="24"/>
          <w:highlight w:val="none"/>
        </w:rPr>
        <w:t>条，明确了</w:t>
      </w:r>
      <w:r>
        <w:rPr>
          <w:rFonts w:hint="eastAsia" w:ascii="宋体" w:hAnsi="宋体" w:eastAsia="宋体" w:cs="宋体"/>
          <w:color w:val="auto"/>
          <w:sz w:val="24"/>
          <w:highlight w:val="none"/>
          <w:lang w:eastAsia="zh-CN"/>
        </w:rPr>
        <w:t>主管税务机关</w:t>
      </w:r>
      <w:r>
        <w:rPr>
          <w:rFonts w:hint="eastAsia" w:ascii="宋体" w:hAnsi="宋体" w:eastAsia="宋体" w:cs="宋体"/>
          <w:color w:val="auto"/>
          <w:sz w:val="24"/>
          <w:highlight w:val="none"/>
        </w:rPr>
        <w:t>存量房交易计税</w:t>
      </w:r>
      <w:r>
        <w:rPr>
          <w:rFonts w:hint="eastAsia" w:ascii="宋体" w:hAnsi="宋体" w:eastAsia="宋体" w:cs="宋体"/>
          <w:color w:val="auto"/>
          <w:sz w:val="24"/>
          <w:highlight w:val="none"/>
          <w:lang w:eastAsia="zh-CN"/>
        </w:rPr>
        <w:t>价格核定方式。</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六</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第</w:t>
      </w:r>
      <w:r>
        <w:rPr>
          <w:rFonts w:hint="eastAsia" w:ascii="宋体" w:hAnsi="宋体" w:eastAsia="宋体" w:cs="宋体"/>
          <w:color w:val="auto"/>
          <w:sz w:val="24"/>
          <w:highlight w:val="none"/>
          <w:lang w:eastAsia="zh-CN"/>
        </w:rPr>
        <w:t>九、十、十一、十二</w:t>
      </w:r>
      <w:r>
        <w:rPr>
          <w:rFonts w:hint="eastAsia" w:ascii="宋体" w:hAnsi="宋体" w:eastAsia="宋体" w:cs="宋体"/>
          <w:color w:val="auto"/>
          <w:sz w:val="24"/>
          <w:highlight w:val="none"/>
        </w:rPr>
        <w:t>条，明确了处理计税价格争议</w:t>
      </w:r>
      <w:r>
        <w:rPr>
          <w:rFonts w:hint="eastAsia" w:ascii="宋体" w:hAnsi="宋体" w:eastAsia="宋体" w:cs="宋体"/>
          <w:color w:val="auto"/>
          <w:sz w:val="24"/>
          <w:highlight w:val="none"/>
          <w:lang w:eastAsia="zh-CN"/>
        </w:rPr>
        <w:t>受理情形、</w:t>
      </w:r>
      <w:r>
        <w:rPr>
          <w:rFonts w:hint="eastAsia" w:ascii="宋体" w:hAnsi="宋体" w:eastAsia="宋体" w:cs="宋体"/>
          <w:color w:val="auto"/>
          <w:sz w:val="24"/>
          <w:highlight w:val="none"/>
        </w:rPr>
        <w:t>纳税人应提供的资料以及税务机关受理申请后的操作流程、办理时限和应出具的文书。</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（七）第</w:t>
      </w:r>
      <w:r>
        <w:rPr>
          <w:rFonts w:hint="eastAsia" w:ascii="宋体" w:hAnsi="宋体" w:eastAsia="宋体" w:cs="宋体"/>
          <w:color w:val="auto"/>
          <w:sz w:val="24"/>
          <w:highlight w:val="none"/>
          <w:lang w:eastAsia="zh-CN"/>
        </w:rPr>
        <w:t>十三</w:t>
      </w:r>
      <w:r>
        <w:rPr>
          <w:rFonts w:hint="eastAsia" w:ascii="宋体" w:hAnsi="宋体" w:eastAsia="宋体" w:cs="宋体"/>
          <w:color w:val="auto"/>
          <w:sz w:val="24"/>
          <w:highlight w:val="none"/>
        </w:rPr>
        <w:t>条明确了存量房交易价格争议的后续事项管理。税务部门和纳税人对价格认定结论有异议的，可以申请复核，纳税人对复核后确定的价格仍有异议的，可依法申请行政复议或向人民法院起诉。</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（八）第十</w:t>
      </w:r>
      <w:r>
        <w:rPr>
          <w:rFonts w:hint="eastAsia" w:ascii="宋体" w:hAnsi="宋体" w:eastAsia="宋体" w:cs="宋体"/>
          <w:color w:val="auto"/>
          <w:sz w:val="24"/>
          <w:highlight w:val="none"/>
          <w:lang w:eastAsia="zh-CN"/>
        </w:rPr>
        <w:t>四</w:t>
      </w:r>
      <w:r>
        <w:rPr>
          <w:rFonts w:hint="eastAsia" w:ascii="宋体" w:hAnsi="宋体" w:eastAsia="宋体" w:cs="宋体"/>
          <w:color w:val="auto"/>
          <w:sz w:val="24"/>
          <w:highlight w:val="none"/>
        </w:rPr>
        <w:t>条明确了</w:t>
      </w:r>
      <w:r>
        <w:rPr>
          <w:rFonts w:hint="eastAsia" w:ascii="宋体" w:hAnsi="宋体" w:eastAsia="宋体" w:cs="宋体"/>
          <w:color w:val="auto"/>
          <w:sz w:val="24"/>
          <w:highlight w:val="none"/>
          <w:lang w:val="en-US" w:eastAsia="zh-CN"/>
        </w:rPr>
        <w:t>税务机关的责任。税务机关应当在纳税人办理存量房交易税收纳税申报时，告知其享有按照本通告提出争议处理申请的权利，以及故意办理虚假的纳税申报应当承担的法律责任</w:t>
      </w:r>
      <w:r>
        <w:rPr>
          <w:rFonts w:hint="eastAsia" w:ascii="宋体" w:hAnsi="宋体" w:eastAsia="宋体" w:cs="宋体"/>
          <w:color w:val="auto"/>
          <w:sz w:val="24"/>
          <w:highlight w:val="none"/>
        </w:rPr>
        <w:t>。</w:t>
      </w:r>
    </w:p>
    <w:p>
      <w:pPr>
        <w:pStyle w:val="3"/>
        <w:bidi w:val="0"/>
        <w:rPr>
          <w:rFonts w:hint="eastAsia" w:ascii="宋体" w:hAnsi="宋体" w:eastAsia="宋体" w:cs="宋体"/>
          <w:color w:val="auto"/>
          <w:sz w:val="24"/>
          <w:highlight w:val="none"/>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九</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第十五条明确了存量房交易双方的责任。存量房交易双方应如实向税务机关进行纳税申报，通过订立虚假合同低报成交价格，不缴或者少缴应纳税款的，按照《中华人民共和国税收征收管理法》第六十三条规定处理。</w:t>
      </w:r>
    </w:p>
    <w:p>
      <w:pPr>
        <w:pStyle w:val="3"/>
        <w:bidi w:val="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十</w:t>
      </w:r>
      <w:r>
        <w:rPr>
          <w:rFonts w:hint="eastAsia" w:ascii="宋体" w:hAnsi="宋体" w:eastAsia="宋体" w:cs="宋体"/>
          <w:color w:val="auto"/>
          <w:sz w:val="24"/>
          <w:highlight w:val="none"/>
        </w:rPr>
        <w:t>）第十</w:t>
      </w:r>
      <w:r>
        <w:rPr>
          <w:rFonts w:hint="eastAsia" w:ascii="宋体" w:hAnsi="宋体" w:eastAsia="宋体" w:cs="宋体"/>
          <w:color w:val="auto"/>
          <w:sz w:val="24"/>
          <w:highlight w:val="none"/>
          <w:lang w:eastAsia="zh-CN"/>
        </w:rPr>
        <w:t>六</w:t>
      </w:r>
      <w:r>
        <w:rPr>
          <w:rFonts w:hint="eastAsia" w:ascii="宋体" w:hAnsi="宋体" w:eastAsia="宋体" w:cs="宋体"/>
          <w:color w:val="auto"/>
          <w:sz w:val="24"/>
          <w:highlight w:val="none"/>
        </w:rPr>
        <w:t>条明确了《办法》的执行日期为自发布之日起执行。</w:t>
      </w:r>
    </w:p>
    <w:p>
      <w:bookmarkStart w:id="1" w:name="_GoBack"/>
      <w:bookmarkEnd w:id="1"/>
    </w:p>
    <w:sectPr>
      <w:footerReference r:id="rId3" w:type="default"/>
      <w:pgSz w:w="11906" w:h="16838"/>
      <w:pgMar w:top="1134" w:right="1077" w:bottom="1077" w:left="1134"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path/>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A81D98"/>
    <w:rsid w:val="27A81D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after="120" w:afterLines="0" w:afterAutospacing="0"/>
    </w:pPr>
  </w:style>
  <w:style w:type="paragraph" w:styleId="4">
    <w:name w:val="Plain Text"/>
    <w:basedOn w:val="1"/>
    <w:unhideWhenUsed/>
    <w:qFormat/>
    <w:uiPriority w:val="99"/>
    <w:rPr>
      <w:rFonts w:ascii="宋体" w:hAnsi="Courier New" w:eastAsia="宋体" w:cs="Times New Roman"/>
      <w:szCs w:val="20"/>
    </w:rPr>
  </w:style>
  <w:style w:type="paragraph" w:styleId="5">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2024-11-20T01:15:00Z</dcterms:created>
  <dc:creator>Administrator</dc:creator>
  <cp:lastModifiedBy>Administrator</cp:lastModifiedBy>
  <dcterms:modified xsi:type="dcterms:W3CDTF">2024-11-20T01:16:24Z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