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line="578" w:lineRule="exact"/>
        <w:jc w:val="center"/>
        <w:outlineLvl w:val="9"/>
        <w:rPr>
          <w:rFonts w:ascii="华文中宋" w:hAnsi="华文中宋" w:eastAsia="华文中宋" w:cs="华文中宋"/>
          <w:sz w:val="44"/>
          <w:szCs w:val="44"/>
          <w:highlight w:val="none"/>
        </w:rPr>
      </w:pPr>
      <w:r>
        <w:rPr>
          <w:rFonts w:hint="eastAsia" w:ascii="华文中宋" w:hAnsi="华文中宋" w:eastAsia="华文中宋" w:cs="华文中宋"/>
          <w:sz w:val="44"/>
          <w:szCs w:val="44"/>
          <w:highlight w:val="none"/>
          <w:lang w:eastAsia="zh-CN"/>
        </w:rPr>
        <w:t>国家税务总局辽阳市税务局第一</w:t>
      </w:r>
      <w:r>
        <w:rPr>
          <w:rFonts w:hint="eastAsia" w:ascii="华文中宋" w:hAnsi="华文中宋" w:eastAsia="华文中宋" w:cs="华文中宋"/>
          <w:sz w:val="44"/>
          <w:szCs w:val="44"/>
          <w:highlight w:val="none"/>
        </w:rPr>
        <w:t>稽查局</w:t>
      </w:r>
    </w:p>
    <w:p>
      <w:pPr>
        <w:snapToGrid w:val="0"/>
        <w:jc w:val="center"/>
        <w:rPr>
          <w:rFonts w:ascii="华文中宋" w:hAnsi="华文中宋" w:eastAsia="华文中宋" w:cs="华文中宋"/>
          <w:sz w:val="52"/>
          <w:szCs w:val="52"/>
          <w:highlight w:val="none"/>
        </w:rPr>
      </w:pPr>
      <w:r>
        <w:rPr>
          <w:rFonts w:hint="eastAsia" w:ascii="华文中宋" w:hAnsi="华文中宋" w:eastAsia="华文中宋" w:cs="华文中宋"/>
          <w:sz w:val="52"/>
          <w:szCs w:val="52"/>
          <w:highlight w:val="none"/>
        </w:rPr>
        <w:t>税务行政处罚事项告知书</w:t>
      </w:r>
    </w:p>
    <w:p>
      <w:pPr>
        <w:spacing w:line="560" w:lineRule="exact"/>
        <w:jc w:val="center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bookmarkStart w:id="0" w:name="_Toc6741"/>
      <w:bookmarkStart w:id="1" w:name="_Toc25130"/>
      <w:bookmarkStart w:id="2" w:name="_Toc30111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辽市税一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稽罚告〔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</w:t>
      </w:r>
      <w:bookmarkEnd w:id="0"/>
      <w:bookmarkEnd w:id="1"/>
      <w:bookmarkEnd w:id="2"/>
    </w:p>
    <w:p>
      <w:pPr>
        <w:snapToGrid w:val="0"/>
        <w:jc w:val="center"/>
        <w:outlineLvl w:val="0"/>
        <w:rPr>
          <w:rFonts w:ascii="华文中宋" w:hAnsi="华文中宋" w:eastAsia="华文中宋" w:cs="华文中宋"/>
          <w:spacing w:val="20"/>
          <w:highlight w:val="none"/>
        </w:rPr>
      </w:pPr>
    </w:p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辽阳奇疆戈汽车有限公司（统一社会信用代码:91211003MAE9015T2J）：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对你单位（地址：辽宁省辽阳市文圣区天福路36-4号（D座）一层102-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室）的税收违法行为拟于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日之前作出行政处罚决定，根据《中华人民共和国税收征收管理法》第八条、《中华人民共和国行政处罚法》第四十四条、第六十三条、第六十四条规定，现将有关事项告知如下：</w:t>
      </w:r>
    </w:p>
    <w:p>
      <w:pPr>
        <w:spacing w:line="560" w:lineRule="exact"/>
        <w:ind w:firstLine="640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一、税务行政处罚的事实、理由、依据及拟作出的处罚决定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通过检查，主要发现以下问题：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你单位2025年2月开具的 60 组机动车销售统一发票，</w:t>
      </w: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发票代码：121002421071，发票号码00327320-00327379，金额合计1,782,178.20元，税额合计17,821.80元，价税总计1,800,000.00元。经我局检查核实，上述发票所涉及车辆信息与生产厂家生产信息不符，厂家证实未生产上述发票所涉及的车辆。根据《中华人民共和国发票管理办法》第二十一条第二款“任何单位和个人不得有下列虚开发票行为：（一）为他人、为自己开具与实际经营业务情况不符的发票。”之规定，你单位上述开具与实际经营业务情况不符的发票行为，构成虚开发票行为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bookmarkStart w:id="3" w:name="_GoBack"/>
      <w:bookmarkEnd w:id="3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以上违法事实，主要有以下证据证明：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1：检查人员对你单位注册地址实地核实记录，用于证明你单位目前未在该地址实际经营的情况，同时与其他九家涉案企业注册地址雷同。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2：银行查询记录，用于证明你单位对公账户不存在，资金交易信息不真实的情况。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证据3：税务“金三”系统与主管税务机关转来的发票信息，用于证明你单位未取得对外销售车辆相关的购进发票。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证据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4：辽阳市税务局第二税务分局涉案车辆查询信息，用于证明部分车辆登记品牌型号信息与发票开具信息不符的情况。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证据5：涉案品牌汽车生产厂家提供的证明材料，用于证明涉案品牌汽车生产厂家未生产你单位发票开具的对应车辆。</w:t>
      </w:r>
    </w:p>
    <w:p>
      <w:pPr>
        <w:spacing w:line="560" w:lineRule="exact"/>
        <w:ind w:firstLine="64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根据《中华人民共和国发票管理办法》第三十五条第一款“违反本办法的规定虚开发票的，由税务机关没收违法所得；虚开金额在1万元以下的，可以并处5万元以下的罚款；虚开金额超过1万的，并处5万元以上50万元以下的罚款；构成犯罪的，依法追究刑事责任”、《东北区域税务行政处罚裁量基准》（国家税务总局辽宁省税务局 国家税务总局吉林省税务局 国家税务总局黑龙江省税务局 国家税务总局大连市税务局公告2023年第2号）附件《东北区域税务行政处罚裁量基准》第46条（三）“虚开金额50万元以上（不含）500万元以下的，处10万元以上（不含）30万元以下的罚款”之规定，拟对你单位处17万元罚款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二、你单位有陈述、申辩的权利。请在我局作出税务行政处罚决定之前，到我局进行陈述、申辩或自行提供陈述、申辩材料；逾期不进行陈述、申辩的，视同放弃权利。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三、拟对你单位罚款10000元（含10000元）以上，或符合《中华人民共和国行政处罚法》第六十三条规定的其他情形的，你单位有要求听证的权利。可自收到本告知书之日起五个工作日内向我局书面提出听证申请；逾期不提出，视为放弃听证权利。</w:t>
      </w: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firstLine="640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>
      <w:pPr>
        <w:spacing w:line="560" w:lineRule="exact"/>
        <w:ind w:right="105" w:rightChars="50"/>
        <w:jc w:val="right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国家税务总局辽阳市税务局第一稽查局</w:t>
      </w:r>
    </w:p>
    <w:p>
      <w:pPr>
        <w:spacing w:line="560" w:lineRule="exact"/>
        <w:ind w:right="840" w:rightChars="400"/>
        <w:jc w:val="right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二〇二五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三十一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3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7D1DA6"/>
    <w:rsid w:val="003710E8"/>
    <w:rsid w:val="019834F8"/>
    <w:rsid w:val="06D91B04"/>
    <w:rsid w:val="0B521A34"/>
    <w:rsid w:val="2E5E0311"/>
    <w:rsid w:val="30F63325"/>
    <w:rsid w:val="36F163E6"/>
    <w:rsid w:val="4E7D1DA6"/>
    <w:rsid w:val="4EA75E20"/>
    <w:rsid w:val="58D659DF"/>
    <w:rsid w:val="5F201661"/>
    <w:rsid w:val="6A0E68B8"/>
    <w:rsid w:val="71821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ind w:firstLine="200" w:firstLineChars="200"/>
      <w:jc w:val="center"/>
      <w:outlineLvl w:val="0"/>
    </w:pPr>
    <w:rPr>
      <w:rFonts w:ascii="Cambria" w:hAnsi="Cambria" w:eastAsia="方正小标宋简体" w:cs="Cambria"/>
    </w:rPr>
  </w:style>
  <w:style w:type="paragraph" w:styleId="3">
    <w:name w:val="Body Text"/>
    <w:basedOn w:val="1"/>
    <w:next w:val="4"/>
    <w:unhideWhenUsed/>
    <w:qFormat/>
    <w:uiPriority w:val="99"/>
    <w:pPr>
      <w:spacing w:after="120"/>
    </w:pPr>
  </w:style>
  <w:style w:type="paragraph" w:styleId="4">
    <w:name w:val="Body Text First Indent"/>
    <w:basedOn w:val="3"/>
    <w:qFormat/>
    <w:uiPriority w:val="0"/>
    <w:pPr>
      <w:spacing w:line="500" w:lineRule="exact"/>
      <w:ind w:firstLine="420"/>
    </w:pPr>
    <w:rPr>
      <w:rFonts w:eastAsia="宋体"/>
      <w:sz w:val="28"/>
    </w:rPr>
  </w:style>
  <w:style w:type="paragraph" w:styleId="5">
    <w:name w:val="Normal (Web)"/>
    <w:basedOn w:val="1"/>
    <w:qFormat/>
    <w:uiPriority w:val="0"/>
    <w:pPr>
      <w:suppressAutoHyphens/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2025-10-31T04:53:00Z</dcterms:created>
  <dc:creator>姚  欢</dc:creator>
  <cp:lastModifiedBy>姚  欢</cp:lastModifiedBy>
  <dcterms:modified xsi:type="dcterms:W3CDTF">2025-10-31T05:11:01Z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