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仿宋_GBK" w:hAnsi="方正仿宋_GBK" w:eastAsia="方正仿宋_GBK"/>
        </w:rPr>
      </w:pPr>
      <w:r>
        <w:rPr>
          <w:rFonts w:ascii="方正仿宋_GBK" w:hAnsi="方正仿宋_GBK" w:eastAsia="方正仿宋_GBK"/>
        </w:rPr>
        <w:drawing>
          <wp:inline distT="0" distB="0" distL="0" distR="0">
            <wp:extent cx="7560310" cy="10692130"/>
            <wp:effectExtent l="19050" t="0" r="2540" b="0"/>
            <wp:docPr id="50" name="图片 1" descr="G:\a279b55dc8b9d11657e3b2e85b56f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descr="G:\a279b55dc8b9d11657e3b2e85b56fce.png"/>
                    <pic:cNvPicPr>
                      <a:picLocks noChangeAspect="1" noChangeArrowheads="1"/>
                    </pic:cNvPicPr>
                  </pic:nvPicPr>
                  <pic:blipFill>
                    <a:blip r:embed="rId6" cstate="print"/>
                    <a:srcRect/>
                    <a:stretch>
                      <a:fillRect/>
                    </a:stretch>
                  </pic:blipFill>
                  <pic:spPr>
                    <a:xfrm>
                      <a:off x="0" y="0"/>
                      <a:ext cx="7560310" cy="10692502"/>
                    </a:xfrm>
                    <a:prstGeom prst="rect">
                      <a:avLst/>
                    </a:prstGeom>
                    <a:noFill/>
                    <a:ln w="9525">
                      <a:noFill/>
                      <a:miter lim="800000"/>
                      <a:headEnd/>
                      <a:tailEnd/>
                    </a:ln>
                  </pic:spPr>
                </pic:pic>
              </a:graphicData>
            </a:graphic>
          </wp:inline>
        </w:drawing>
      </w: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_Toc128733554 \h </w:instrText>
          </w:r>
          <w:r>
            <w:rPr>
              <w:rFonts w:ascii="黑体" w:hAnsi="黑体" w:eastAsia="黑体"/>
              <w:sz w:val="36"/>
              <w:szCs w:val="36"/>
            </w:rPr>
            <w:fldChar w:fldCharType="separate"/>
          </w:r>
          <w:r>
            <w:rPr>
              <w:rFonts w:ascii="黑体" w:hAnsi="黑体" w:eastAsia="黑体"/>
              <w:sz w:val="36"/>
              <w:szCs w:val="36"/>
            </w:rPr>
            <w:t>11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53</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55</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黑体" w:hAnsi="黑体" w:eastAsia="黑体"/>
              <w:sz w:val="44"/>
              <w:szCs w:val="48"/>
            </w:rPr>
          </w:pPr>
          <w:r>
            <w:rPr>
              <w:rFonts w:ascii="黑体" w:hAnsi="黑体" w:eastAsia="黑体" w:cs="Times New Roman"/>
              <w:kern w:val="0"/>
              <w:sz w:val="44"/>
              <w:szCs w:val="48"/>
            </w:rPr>
            <w:fldChar w:fldCharType="end"/>
          </w:r>
        </w:p>
      </w:sdtContent>
    </w:sdt>
    <w:bookmarkEnd w:id="0"/>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1" w:name="_Toc128733551"/>
      <w:r>
        <w:rPr>
          <w:rFonts w:hint="eastAsia" w:ascii="方正仿宋_GBK" w:hAnsi="方正仿宋_GBK" w:eastAsia="方正仿宋_GBK"/>
        </w:rPr>
        <w:t>税务权力事项清单</w:t>
      </w:r>
      <w:bookmarkEnd w:id="1"/>
    </w:p>
    <w:tbl>
      <w:tblPr>
        <w:tblStyle w:val="13"/>
        <w:tblW w:w="8296" w:type="dxa"/>
        <w:jc w:val="center"/>
        <w:tblLayout w:type="autofit"/>
        <w:tblCellMar>
          <w:top w:w="0" w:type="dxa"/>
          <w:left w:w="108" w:type="dxa"/>
          <w:bottom w:w="0" w:type="dxa"/>
          <w:right w:w="108" w:type="dxa"/>
        </w:tblCellMar>
      </w:tblPr>
      <w:tblGrid>
        <w:gridCol w:w="1664"/>
        <w:gridCol w:w="689"/>
        <w:gridCol w:w="2736"/>
        <w:gridCol w:w="452"/>
        <w:gridCol w:w="222"/>
        <w:gridCol w:w="2759"/>
      </w:tblGrid>
      <w:tr>
        <w:tblPrEx>
          <w:tblCellMar>
            <w:top w:w="0" w:type="dxa"/>
            <w:left w:w="108" w:type="dxa"/>
            <w:bottom w:w="0" w:type="dxa"/>
            <w:right w:w="108" w:type="dxa"/>
          </w:tblCellMar>
        </w:tblPrEx>
        <w:trPr>
          <w:trHeight w:val="224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222"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222"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bidi w:val="0"/>
            </w:pPr>
            <w:r>
              <w:rPr>
                <w:rFonts w:ascii="方正仿宋_GBK" w:hAnsi="方正仿宋_GBK" w:eastAsia="方正仿宋_GBK"/>
              </w:rPr>
              <w:drawing>
                <wp:inline distT="0" distB="0" distL="0" distR="0">
                  <wp:extent cx="1619885" cy="1619885"/>
                  <wp:effectExtent l="0" t="0" r="1841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22"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222" w:type="dxa"/>
            <w:tcBorders>
              <w:top w:val="nil"/>
              <w:left w:val="nil"/>
              <w:bottom w:val="single" w:color="auto" w:sz="4" w:space="0"/>
              <w:right w:val="nil"/>
            </w:tcBorders>
            <w:vAlign w:val="center"/>
          </w:tcPr>
          <w:p>
            <w:pPr>
              <w:widowControl/>
              <w:jc w:val="center"/>
            </w:pPr>
            <w:r>
              <w:rPr>
                <w:rFonts w:hint="eastAsia"/>
              </w:rPr>
              <w:t>1</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222" w:type="dxa"/>
            <w:tcBorders>
              <w:top w:val="nil"/>
              <w:left w:val="nil"/>
              <w:bottom w:val="single" w:color="auto" w:sz="4" w:space="0"/>
              <w:right w:val="nil"/>
            </w:tcBorders>
            <w:vAlign w:val="center"/>
          </w:tcPr>
          <w:p>
            <w:pPr>
              <w:widowControl/>
              <w:jc w:val="center"/>
            </w:pPr>
            <w:r>
              <w:rPr>
                <w:rFonts w:hint="eastAsia"/>
              </w:rPr>
              <w:t>1</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222" w:type="dxa"/>
            <w:tcBorders>
              <w:top w:val="nil"/>
              <w:left w:val="nil"/>
              <w:bottom w:val="single" w:color="auto" w:sz="4" w:space="0"/>
              <w:right w:val="nil"/>
            </w:tcBorders>
            <w:vAlign w:val="center"/>
          </w:tcPr>
          <w:p>
            <w:pPr>
              <w:widowControl/>
              <w:jc w:val="center"/>
            </w:pPr>
            <w:r>
              <w:rPr>
                <w:rFonts w:hint="eastAsia"/>
              </w:rPr>
              <w:t>1</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222" w:type="dxa"/>
            <w:tcBorders>
              <w:top w:val="nil"/>
              <w:left w:val="nil"/>
              <w:bottom w:val="single" w:color="auto" w:sz="4" w:space="0"/>
              <w:right w:val="nil"/>
            </w:tcBorders>
            <w:vAlign w:val="center"/>
          </w:tcPr>
          <w:p>
            <w:pPr>
              <w:widowControl/>
              <w:jc w:val="center"/>
            </w:pPr>
            <w:r>
              <w:rPr>
                <w:rFonts w:hint="eastAsia"/>
              </w:rPr>
              <w:t>1</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222" w:type="dxa"/>
            <w:tcBorders>
              <w:top w:val="nil"/>
              <w:left w:val="nil"/>
              <w:bottom w:val="single" w:color="auto" w:sz="4" w:space="0"/>
              <w:right w:val="nil"/>
            </w:tcBorders>
            <w:vAlign w:val="center"/>
          </w:tcPr>
          <w:p>
            <w:pPr>
              <w:widowControl/>
              <w:jc w:val="center"/>
            </w:pPr>
            <w:r>
              <w:rPr>
                <w:rFonts w:hint="eastAsia"/>
              </w:rPr>
              <w:t>1</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222" w:type="dxa"/>
            <w:tcBorders>
              <w:top w:val="nil"/>
              <w:left w:val="nil"/>
              <w:bottom w:val="single" w:color="auto" w:sz="4" w:space="0"/>
              <w:right w:val="nil"/>
            </w:tcBorders>
            <w:vAlign w:val="center"/>
          </w:tcPr>
          <w:p>
            <w:pPr>
              <w:widowControl/>
              <w:jc w:val="center"/>
            </w:pPr>
            <w:r>
              <w:rPr>
                <w:rFonts w:hint="eastAsia"/>
              </w:rPr>
              <w:t>1</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222" w:type="dxa"/>
            <w:tcBorders>
              <w:top w:val="nil"/>
              <w:left w:val="nil"/>
              <w:bottom w:val="single" w:color="auto" w:sz="4" w:space="0"/>
              <w:right w:val="nil"/>
            </w:tcBorders>
            <w:vAlign w:val="center"/>
          </w:tcPr>
          <w:p>
            <w:pPr>
              <w:widowControl/>
              <w:jc w:val="center"/>
            </w:pPr>
            <w:r>
              <w:rPr>
                <w:rFonts w:hint="eastAsia"/>
              </w:rPr>
              <w:t>2</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22" w:type="dxa"/>
            <w:tcBorders>
              <w:top w:val="nil"/>
              <w:left w:val="nil"/>
              <w:bottom w:val="single" w:color="auto" w:sz="4" w:space="0"/>
              <w:right w:val="nil"/>
            </w:tcBorders>
            <w:vAlign w:val="center"/>
          </w:tcPr>
          <w:p>
            <w:pPr>
              <w:widowControl/>
              <w:jc w:val="center"/>
            </w:pPr>
            <w:r>
              <w:rPr>
                <w:rFonts w:hint="eastAsia"/>
              </w:rPr>
              <w:t>2</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222" w:type="dxa"/>
            <w:tcBorders>
              <w:top w:val="nil"/>
              <w:left w:val="nil"/>
              <w:bottom w:val="single" w:color="auto" w:sz="4" w:space="0"/>
              <w:right w:val="nil"/>
            </w:tcBorders>
            <w:vAlign w:val="center"/>
          </w:tcPr>
          <w:p>
            <w:pPr>
              <w:widowControl/>
              <w:jc w:val="center"/>
            </w:pPr>
            <w:r>
              <w:rPr>
                <w:rFonts w:hint="eastAsia"/>
              </w:rPr>
              <w:t>2</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222" w:type="dxa"/>
            <w:tcBorders>
              <w:top w:val="nil"/>
              <w:left w:val="nil"/>
              <w:bottom w:val="single" w:color="auto" w:sz="4" w:space="0"/>
              <w:right w:val="nil"/>
            </w:tcBorders>
            <w:vAlign w:val="center"/>
          </w:tcPr>
          <w:p>
            <w:pPr>
              <w:widowControl/>
              <w:jc w:val="center"/>
            </w:pPr>
            <w:r>
              <w:rPr>
                <w:rFonts w:hint="eastAsia"/>
              </w:rPr>
              <w:t>2</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222" w:type="dxa"/>
            <w:tcBorders>
              <w:top w:val="nil"/>
              <w:left w:val="nil"/>
              <w:bottom w:val="single" w:color="auto" w:sz="4" w:space="0"/>
              <w:right w:val="nil"/>
            </w:tcBorders>
            <w:vAlign w:val="center"/>
          </w:tcPr>
          <w:p>
            <w:pPr>
              <w:widowControl/>
              <w:jc w:val="center"/>
            </w:pPr>
            <w:r>
              <w:rPr>
                <w:rFonts w:hint="eastAsia"/>
              </w:rPr>
              <w:t>2</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222" w:type="dxa"/>
            <w:tcBorders>
              <w:top w:val="nil"/>
              <w:left w:val="nil"/>
              <w:bottom w:val="single" w:color="auto" w:sz="4" w:space="0"/>
              <w:right w:val="nil"/>
            </w:tcBorders>
            <w:vAlign w:val="center"/>
          </w:tcPr>
          <w:p>
            <w:pPr>
              <w:widowControl/>
              <w:jc w:val="center"/>
            </w:pPr>
            <w:r>
              <w:rPr>
                <w:rFonts w:hint="eastAsia"/>
              </w:rPr>
              <w:t>2</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222" w:type="dxa"/>
            <w:tcBorders>
              <w:top w:val="nil"/>
              <w:left w:val="nil"/>
              <w:bottom w:val="single" w:color="auto" w:sz="4" w:space="0"/>
              <w:right w:val="nil"/>
            </w:tcBorders>
            <w:vAlign w:val="center"/>
          </w:tcPr>
          <w:p>
            <w:pPr>
              <w:widowControl/>
              <w:jc w:val="center"/>
            </w:pPr>
            <w:r>
              <w:rPr>
                <w:rFonts w:hint="eastAsia"/>
              </w:rPr>
              <w:t>2</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四、优惠办理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222" w:type="dxa"/>
            <w:tcBorders>
              <w:top w:val="nil"/>
              <w:left w:val="nil"/>
              <w:bottom w:val="single" w:color="auto" w:sz="4" w:space="0"/>
              <w:right w:val="nil"/>
            </w:tcBorders>
            <w:vAlign w:val="center"/>
          </w:tcPr>
          <w:p>
            <w:pPr>
              <w:widowControl/>
              <w:jc w:val="center"/>
            </w:pPr>
            <w:r>
              <w:rPr>
                <w:rFonts w:hint="eastAsia"/>
              </w:rPr>
              <w:t>3</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619885" cy="1619885"/>
                  <wp:effectExtent l="0" t="0" r="18415" b="184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222" w:type="dxa"/>
            <w:tcBorders>
              <w:top w:val="nil"/>
              <w:left w:val="nil"/>
              <w:bottom w:val="single" w:color="auto" w:sz="4" w:space="0"/>
              <w:right w:val="nil"/>
            </w:tcBorders>
            <w:vAlign w:val="center"/>
          </w:tcPr>
          <w:p>
            <w:pPr>
              <w:widowControl/>
              <w:jc w:val="center"/>
            </w:pPr>
            <w:r>
              <w:rPr>
                <w:rFonts w:hint="eastAsia"/>
              </w:rPr>
              <w:t>3</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222" w:type="dxa"/>
            <w:tcBorders>
              <w:top w:val="nil"/>
              <w:left w:val="nil"/>
              <w:bottom w:val="single" w:color="auto" w:sz="4" w:space="0"/>
              <w:right w:val="nil"/>
            </w:tcBorders>
            <w:vAlign w:val="center"/>
          </w:tcPr>
          <w:p>
            <w:pPr>
              <w:widowControl/>
              <w:jc w:val="center"/>
            </w:pPr>
            <w:r>
              <w:rPr>
                <w:rFonts w:hint="eastAsia"/>
              </w:rPr>
              <w:t>3</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nil"/>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六、社会保险费及非税收入业务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单位社会保险费申报</w:t>
            </w:r>
          </w:p>
        </w:tc>
        <w:tc>
          <w:tcPr>
            <w:tcW w:w="222" w:type="dxa"/>
            <w:tcBorders>
              <w:top w:val="nil"/>
              <w:left w:val="nil"/>
              <w:bottom w:val="single" w:color="auto" w:sz="4" w:space="0"/>
              <w:right w:val="nil"/>
            </w:tcBorders>
            <w:vAlign w:val="center"/>
          </w:tcPr>
          <w:p>
            <w:pPr>
              <w:widowControl/>
              <w:jc w:val="center"/>
            </w:pPr>
            <w:r>
              <w:rPr>
                <w:rFonts w:hint="eastAsia"/>
              </w:rPr>
              <w:t>3</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灵活就业人员社会保险费申报缴费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城乡居民社会保险费申报缴费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残疾人就业保障金申报</w:t>
            </w:r>
          </w:p>
        </w:tc>
        <w:tc>
          <w:tcPr>
            <w:tcW w:w="222" w:type="dxa"/>
            <w:tcBorders>
              <w:top w:val="nil"/>
              <w:left w:val="nil"/>
              <w:bottom w:val="single" w:color="auto" w:sz="4" w:space="0"/>
              <w:right w:val="nil"/>
            </w:tcBorders>
            <w:vAlign w:val="center"/>
          </w:tcPr>
          <w:p>
            <w:pPr>
              <w:widowControl/>
              <w:jc w:val="center"/>
            </w:pPr>
            <w:r>
              <w:rPr>
                <w:rFonts w:hint="eastAsia"/>
              </w:rPr>
              <w:t>3</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22" w:type="dxa"/>
            <w:tcBorders>
              <w:top w:val="nil"/>
              <w:left w:val="nil"/>
              <w:bottom w:val="single" w:color="auto" w:sz="4" w:space="0"/>
              <w:right w:val="nil"/>
            </w:tcBorders>
            <w:vAlign w:val="center"/>
          </w:tcPr>
          <w:p>
            <w:pPr>
              <w:widowControl/>
              <w:jc w:val="center"/>
            </w:pPr>
            <w:r>
              <w:rPr>
                <w:rFonts w:hint="eastAsia"/>
              </w:rPr>
              <w:t>3</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七、国际税收业务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22" w:type="dxa"/>
            <w:tcBorders>
              <w:top w:val="nil"/>
              <w:left w:val="nil"/>
              <w:bottom w:val="single" w:color="auto" w:sz="4" w:space="0"/>
              <w:right w:val="nil"/>
            </w:tcBorders>
            <w:vAlign w:val="center"/>
          </w:tcPr>
          <w:p>
            <w:pPr>
              <w:widowControl/>
              <w:jc w:val="center"/>
            </w:pPr>
            <w:r>
              <w:rPr>
                <w:rFonts w:hint="eastAsia"/>
              </w:rPr>
              <w:t>3</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22"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22"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080" w:hRule="atLeast"/>
          <w:jc w:val="center"/>
        </w:trPr>
        <w:tc>
          <w:tcPr>
            <w:tcW w:w="0" w:type="auto"/>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八、个人所得税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222"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222"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bookmarkStart w:id="324" w:name="_GoBack"/>
            <w:bookmarkEnd w:id="324"/>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22"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九、信用评价</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222"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222"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restart"/>
            <w:tcBorders>
              <w:top w:val="nil"/>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222"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ascii="方正仿宋_GBK" w:hAnsi="方正仿宋_GBK" w:eastAsia="方正仿宋_GBK"/>
              </w:rPr>
              <w:drawing>
                <wp:inline distT="0" distB="0" distL="0" distR="0">
                  <wp:extent cx="1619885" cy="1619885"/>
                  <wp:effectExtent l="0" t="0" r="18415" b="1841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r>
              <w:rPr>
                <w:rFonts w:ascii="方正仿宋_GBK" w:hAnsi="方正仿宋_GBK" w:eastAsia="方正仿宋_GBK" w:cs="宋体"/>
                <w:color w:val="000000"/>
                <w:kern w:val="0"/>
                <w:szCs w:val="21"/>
              </w:rPr>
              <w:t>5</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222"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ascii="方正仿宋_GBK" w:hAnsi="方正仿宋_GBK" w:eastAsia="方正仿宋_GBK"/>
        </w:rPr>
      </w:pP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r>
        <w:rPr>
          <w:rFonts w:ascii="方正仿宋_GBK" w:hAnsi="方正仿宋_GBK" w:eastAsia="方正仿宋_GBK"/>
        </w:rPr>
        <w:drawing>
          <wp:inline distT="0" distB="0" distL="0" distR="0">
            <wp:extent cx="5563870" cy="61785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568455" cy="6183507"/>
                    </a:xfrm>
                    <a:prstGeom prst="rect">
                      <a:avLst/>
                    </a:prstGeom>
                    <a:noFill/>
                    <a:ln>
                      <a:noFill/>
                    </a:ln>
                  </pic:spPr>
                </pic:pic>
              </a:graphicData>
            </a:graphic>
          </wp:inline>
        </w:drawing>
      </w:r>
    </w:p>
    <w:p>
      <w:pPr>
        <w:pStyle w:val="2"/>
        <w:rPr>
          <w:rFonts w:ascii="方正仿宋_GBK" w:hAnsi="方正仿宋_GBK" w:eastAsia="方正仿宋_GBK"/>
        </w:rPr>
      </w:pPr>
      <w:bookmarkStart w:id="3" w:name="_Toc128733554"/>
      <w:r>
        <w:rPr>
          <w:rFonts w:hint="eastAsia" w:ascii="方正仿宋_GBK" w:hAnsi="方正仿宋_GBK" w:eastAsia="方正仿宋_GBK"/>
        </w:rPr>
        <w:t>合规办事业务指南</w:t>
      </w:r>
      <w:bookmarkEnd w:id="3"/>
    </w:p>
    <w:p>
      <w:pPr>
        <w:pStyle w:val="3"/>
        <w:rPr>
          <w:rFonts w:ascii="方正仿宋_GBK" w:hAnsi="方正仿宋_GBK" w:eastAsia="方正仿宋_GBK"/>
        </w:rPr>
      </w:pPr>
      <w:bookmarkStart w:id="4" w:name="_Toc6332"/>
      <w:bookmarkStart w:id="5" w:name="_Toc128733555"/>
      <w:bookmarkStart w:id="6" w:name="_Toc25081"/>
      <w:bookmarkStart w:id="7" w:name="_Toc24834"/>
      <w:bookmarkStart w:id="8" w:name="_Toc5658"/>
      <w:bookmarkStart w:id="9" w:name="_Toc24615"/>
      <w:bookmarkStart w:id="10" w:name="_Toc18599"/>
      <w:bookmarkStart w:id="11" w:name="_Toc127988696"/>
      <w:bookmarkStart w:id="12" w:name="_Toc20018"/>
      <w:bookmarkStart w:id="13" w:name="_Toc21818"/>
      <w:bookmarkStart w:id="14" w:name="_Toc15400"/>
      <w:bookmarkStart w:id="15" w:name="_Toc5457"/>
      <w:bookmarkStart w:id="16" w:name="_Toc1597"/>
      <w:bookmarkStart w:id="17" w:name="_Toc13108"/>
      <w:bookmarkStart w:id="18" w:name="_Toc23554"/>
      <w:bookmarkStart w:id="19" w:name="_Toc3820"/>
      <w:bookmarkStart w:id="20" w:name="_Toc22649"/>
      <w:bookmarkStart w:id="21" w:name="_Toc128733560"/>
      <w:r>
        <w:rPr>
          <w:rFonts w:hint="eastAsia" w:ascii="方正仿宋_GBK" w:hAnsi="方正仿宋_GBK" w:eastAsia="方正仿宋_GBK"/>
        </w:rPr>
        <w:t xml:space="preserve">一、  </w:t>
      </w:r>
      <w:r>
        <w:rPr>
          <w:rFonts w:ascii="方正仿宋_GBK" w:hAnsi="方正仿宋_GBK" w:eastAsia="方正仿宋_GBK"/>
        </w:rPr>
        <w:t>信息报告</w:t>
      </w:r>
      <w:bookmarkEnd w:id="4"/>
      <w:bookmarkEnd w:id="5"/>
      <w:bookmarkEnd w:id="6"/>
    </w:p>
    <w:p>
      <w:pPr>
        <w:pStyle w:val="4"/>
        <w:rPr>
          <w:rFonts w:ascii="方正仿宋_GBK" w:hAnsi="方正仿宋_GBK" w:eastAsia="方正仿宋_GBK"/>
        </w:rPr>
      </w:pPr>
      <w:bookmarkStart w:id="22"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7"/>
      <w:bookmarkEnd w:id="8"/>
      <w:bookmarkEnd w:id="9"/>
      <w:bookmarkEnd w:id="10"/>
      <w:bookmarkEnd w:id="11"/>
      <w:bookmarkEnd w:id="12"/>
      <w:bookmarkEnd w:id="13"/>
      <w:bookmarkEnd w:id="2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3" w:name="_Toc9547"/>
      <w:bookmarkStart w:id="24" w:name="_Toc20158"/>
      <w:bookmarkStart w:id="25" w:name="_Toc127988705"/>
      <w:bookmarkStart w:id="26" w:name="_Toc11649"/>
      <w:bookmarkStart w:id="27" w:name="_Toc10989"/>
      <w:bookmarkStart w:id="28" w:name="_Toc20045"/>
      <w:bookmarkStart w:id="29" w:name="_Toc11903"/>
      <w:bookmarkStart w:id="30" w:name="_Toc24338"/>
      <w:r>
        <w:rPr>
          <w:rFonts w:hint="eastAsia" w:ascii="方正仿宋_GBK" w:hAnsi="方正仿宋_GBK" w:eastAsia="方正仿宋_GBK"/>
        </w:rPr>
        <w:t>2.</w:t>
      </w:r>
      <w:r>
        <w:rPr>
          <w:rFonts w:ascii="方正仿宋_GBK" w:hAnsi="方正仿宋_GBK" w:eastAsia="方正仿宋_GBK"/>
        </w:rPr>
        <w:t>存款账户账号报告</w:t>
      </w:r>
      <w:bookmarkEnd w:id="23"/>
      <w:bookmarkEnd w:id="24"/>
      <w:bookmarkEnd w:id="25"/>
      <w:bookmarkEnd w:id="26"/>
      <w:bookmarkEnd w:id="27"/>
      <w:bookmarkEnd w:id="28"/>
      <w:bookmarkEnd w:id="29"/>
      <w:bookmarkEnd w:id="30"/>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纳税人应当自开立基本存款账户或者其他存款账户之日起15日内，向主管税务机关报告其全部账号；发生变化的，应当自变化之日起15日内，向主管税务机关报告。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1" w:name="_Toc20180"/>
      <w:bookmarkStart w:id="32" w:name="_Toc25460"/>
      <w:bookmarkStart w:id="33" w:name="_Toc17527"/>
      <w:bookmarkStart w:id="34" w:name="_Toc12281"/>
      <w:bookmarkStart w:id="35" w:name="_Toc127988706"/>
      <w:bookmarkStart w:id="36" w:name="_Toc2260"/>
      <w:bookmarkStart w:id="37" w:name="_Toc14635"/>
      <w:bookmarkStart w:id="38" w:name="_Toc651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1"/>
      <w:bookmarkEnd w:id="32"/>
      <w:bookmarkEnd w:id="33"/>
      <w:bookmarkEnd w:id="34"/>
      <w:bookmarkEnd w:id="35"/>
      <w:bookmarkEnd w:id="36"/>
      <w:bookmarkEnd w:id="37"/>
      <w:bookmarkEnd w:id="3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39" w:name="_Toc4456"/>
      <w:bookmarkStart w:id="40" w:name="_Toc20918"/>
      <w:bookmarkStart w:id="41" w:name="_Toc15681"/>
      <w:bookmarkStart w:id="42" w:name="_Toc27298"/>
      <w:bookmarkStart w:id="43" w:name="_Toc127988707"/>
      <w:bookmarkStart w:id="44" w:name="_Toc8308"/>
      <w:bookmarkStart w:id="45" w:name="_Toc21713"/>
      <w:bookmarkStart w:id="46" w:name="_Toc28961"/>
      <w:r>
        <w:rPr>
          <w:rFonts w:hint="eastAsia" w:ascii="方正仿宋_GBK" w:hAnsi="方正仿宋_GBK" w:eastAsia="方正仿宋_GBK" w:cs="黑体"/>
          <w:b/>
          <w:bCs/>
          <w:sz w:val="24"/>
        </w:rPr>
        <w:t>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39"/>
      <w:bookmarkEnd w:id="40"/>
      <w:bookmarkEnd w:id="41"/>
      <w:bookmarkEnd w:id="42"/>
      <w:bookmarkEnd w:id="43"/>
      <w:bookmarkEnd w:id="44"/>
      <w:bookmarkEnd w:id="45"/>
      <w:bookmarkEnd w:id="46"/>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47" w:name="_Toc27810"/>
      <w:bookmarkStart w:id="48" w:name="_Toc3750"/>
      <w:bookmarkStart w:id="49" w:name="_Toc9694"/>
      <w:bookmarkStart w:id="50" w:name="_Toc15903"/>
      <w:bookmarkStart w:id="51" w:name="_Toc127988713"/>
      <w:bookmarkStart w:id="52" w:name="_Toc26654"/>
      <w:bookmarkStart w:id="53" w:name="_Toc21685"/>
      <w:bookmarkStart w:id="54" w:name="_Toc13092"/>
      <w:r>
        <w:rPr>
          <w:rFonts w:hint="eastAsia" w:ascii="方正仿宋_GBK" w:hAnsi="方正仿宋_GBK" w:eastAsia="方正仿宋_GBK"/>
        </w:rPr>
        <w:t>5.</w:t>
      </w:r>
      <w:r>
        <w:rPr>
          <w:rFonts w:ascii="方正仿宋_GBK" w:hAnsi="方正仿宋_GBK" w:eastAsia="方正仿宋_GBK"/>
        </w:rPr>
        <w:t>增值税一般纳税人登记</w:t>
      </w:r>
      <w:bookmarkEnd w:id="47"/>
      <w:bookmarkEnd w:id="48"/>
      <w:bookmarkEnd w:id="49"/>
      <w:bookmarkEnd w:id="50"/>
      <w:bookmarkEnd w:id="51"/>
      <w:bookmarkEnd w:id="52"/>
      <w:bookmarkEnd w:id="53"/>
      <w:bookmarkEnd w:id="54"/>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55" w:name="_Toc15237"/>
      <w:bookmarkStart w:id="56" w:name="_Toc19046"/>
      <w:bookmarkStart w:id="57" w:name="_Toc15164"/>
      <w:bookmarkStart w:id="58" w:name="_Toc12049"/>
      <w:bookmarkStart w:id="59" w:name="_Toc10744"/>
      <w:bookmarkStart w:id="60" w:name="_Toc26107"/>
      <w:bookmarkStart w:id="61" w:name="_Toc10370"/>
      <w:bookmarkStart w:id="62" w:name="_Toc128733556"/>
      <w:r>
        <w:rPr>
          <w:rFonts w:hint="eastAsia" w:ascii="方正仿宋_GBK" w:hAnsi="方正仿宋_GBK" w:eastAsia="方正仿宋_GBK"/>
        </w:rPr>
        <w:t xml:space="preserve">二、 </w:t>
      </w:r>
      <w:r>
        <w:rPr>
          <w:rFonts w:ascii="方正仿宋_GBK" w:hAnsi="方正仿宋_GBK" w:eastAsia="方正仿宋_GBK"/>
        </w:rPr>
        <w:t xml:space="preserve"> </w:t>
      </w:r>
      <w:r>
        <w:rPr>
          <w:rFonts w:hint="eastAsia" w:ascii="方正仿宋_GBK" w:hAnsi="方正仿宋_GBK" w:eastAsia="方正仿宋_GBK"/>
        </w:rPr>
        <w:t>发票</w:t>
      </w:r>
      <w:bookmarkEnd w:id="55"/>
      <w:bookmarkEnd w:id="56"/>
      <w:bookmarkEnd w:id="57"/>
      <w:bookmarkEnd w:id="58"/>
      <w:bookmarkEnd w:id="59"/>
      <w:bookmarkEnd w:id="60"/>
      <w:bookmarkEnd w:id="61"/>
      <w:r>
        <w:rPr>
          <w:rFonts w:hint="eastAsia" w:ascii="方正仿宋_GBK" w:hAnsi="方正仿宋_GBK" w:eastAsia="方正仿宋_GBK"/>
        </w:rPr>
        <w:t>业务</w:t>
      </w:r>
      <w:bookmarkEnd w:id="62"/>
    </w:p>
    <w:p>
      <w:pPr>
        <w:pStyle w:val="4"/>
        <w:rPr>
          <w:rFonts w:ascii="方正仿宋_GBK" w:hAnsi="方正仿宋_GBK" w:eastAsia="方正仿宋_GBK"/>
        </w:rPr>
      </w:pPr>
      <w:bookmarkStart w:id="63" w:name="_Toc4817"/>
      <w:bookmarkStart w:id="64" w:name="_Toc14395"/>
      <w:bookmarkStart w:id="65" w:name="_Toc16203"/>
      <w:bookmarkStart w:id="66" w:name="_Toc5836"/>
      <w:bookmarkStart w:id="67" w:name="_Toc8943"/>
      <w:bookmarkStart w:id="68" w:name="_Toc12622"/>
      <w:bookmarkStart w:id="69" w:name="_Toc6734"/>
      <w:r>
        <w:rPr>
          <w:rFonts w:hint="eastAsia" w:ascii="方正仿宋_GBK" w:hAnsi="方正仿宋_GBK" w:eastAsia="方正仿宋_GBK"/>
        </w:rPr>
        <w:t>6.增值税专用发票（增值税税控系统）最高开票限额审批</w:t>
      </w:r>
      <w:bookmarkEnd w:id="63"/>
      <w:bookmarkEnd w:id="64"/>
      <w:bookmarkEnd w:id="65"/>
      <w:bookmarkEnd w:id="66"/>
      <w:bookmarkEnd w:id="67"/>
      <w:bookmarkEnd w:id="68"/>
      <w:bookmarkEnd w:id="69"/>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①</w:t>
      </w:r>
      <w:r>
        <w:rPr>
          <w:rFonts w:hint="eastAsia" w:ascii="方正仿宋_GBK" w:hAnsi="方正仿宋_GBK" w:eastAsia="方正仿宋_GBK" w:cs="黑体"/>
          <w:sz w:val="24"/>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②</w:t>
      </w:r>
      <w:r>
        <w:rPr>
          <w:rFonts w:hint="eastAsia" w:ascii="方正仿宋_GBK" w:hAnsi="方正仿宋_GBK" w:eastAsia="方正仿宋_GBK" w:cs="黑体"/>
          <w:sz w:val="24"/>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③</w:t>
      </w:r>
      <w:r>
        <w:rPr>
          <w:rFonts w:hint="eastAsia" w:ascii="方正仿宋_GBK" w:hAnsi="方正仿宋_GBK" w:eastAsia="方正仿宋_GBK" w:cs="黑体"/>
          <w:sz w:val="24"/>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70" w:name="_Toc22604"/>
      <w:bookmarkStart w:id="71" w:name="_Toc3855"/>
      <w:bookmarkStart w:id="72" w:name="_Toc20518"/>
      <w:bookmarkStart w:id="73" w:name="_Toc24725"/>
      <w:bookmarkStart w:id="74" w:name="_Toc28630"/>
      <w:bookmarkStart w:id="75" w:name="_Toc11107"/>
      <w:bookmarkStart w:id="76" w:name="_Toc9074"/>
      <w:r>
        <w:rPr>
          <w:rFonts w:hint="eastAsia" w:ascii="方正仿宋_GBK" w:hAnsi="方正仿宋_GBK" w:eastAsia="方正仿宋_GBK"/>
        </w:rPr>
        <w:t>7.发票领用</w:t>
      </w:r>
      <w:bookmarkEnd w:id="70"/>
      <w:bookmarkEnd w:id="71"/>
      <w:bookmarkEnd w:id="72"/>
      <w:bookmarkEnd w:id="73"/>
      <w:bookmarkEnd w:id="74"/>
      <w:bookmarkEnd w:id="75"/>
      <w:bookmarkEnd w:id="76"/>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纳税人在发票票种核定的范围(发票的种类、领用数量、开票限额)内领用发票。</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77" w:name="_Toc26606"/>
      <w:bookmarkStart w:id="78" w:name="_Toc27509"/>
      <w:bookmarkStart w:id="79" w:name="_Toc127988667"/>
      <w:bookmarkStart w:id="80" w:name="_Toc28204"/>
      <w:bookmarkStart w:id="81" w:name="_Toc28155"/>
      <w:bookmarkStart w:id="82" w:name="_Toc17301"/>
      <w:bookmarkStart w:id="83" w:name="_Toc30634"/>
      <w:bookmarkStart w:id="84" w:name="_Toc11761"/>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77"/>
      <w:bookmarkEnd w:id="78"/>
      <w:bookmarkEnd w:id="79"/>
      <w:bookmarkEnd w:id="80"/>
      <w:bookmarkEnd w:id="81"/>
      <w:bookmarkEnd w:id="82"/>
      <w:bookmarkEnd w:id="83"/>
      <w:bookmarkEnd w:id="8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5" w:name="_Toc24949"/>
      <w:bookmarkStart w:id="86" w:name="_Toc3056"/>
      <w:bookmarkStart w:id="87" w:name="_Toc23604"/>
      <w:bookmarkStart w:id="88" w:name="_Toc409"/>
      <w:bookmarkStart w:id="89" w:name="_Toc12111"/>
      <w:bookmarkStart w:id="90" w:name="_Toc21873"/>
      <w:bookmarkStart w:id="91" w:name="_Toc127988668"/>
      <w:bookmarkStart w:id="92" w:name="_Toc20754"/>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5"/>
      <w:bookmarkEnd w:id="86"/>
      <w:bookmarkEnd w:id="87"/>
      <w:bookmarkEnd w:id="88"/>
      <w:bookmarkEnd w:id="89"/>
      <w:bookmarkEnd w:id="90"/>
      <w:bookmarkEnd w:id="91"/>
      <w:bookmarkEnd w:id="9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 xml:space="preserve"> </w:t>
      </w: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3" w:name="_Toc7701"/>
      <w:bookmarkStart w:id="94" w:name="_Toc26459"/>
      <w:bookmarkStart w:id="95" w:name="_Toc128733557"/>
      <w:bookmarkStart w:id="96" w:name="_Toc16463"/>
      <w:bookmarkStart w:id="97" w:name="_Toc12812"/>
      <w:bookmarkStart w:id="98" w:name="_Toc30854"/>
      <w:bookmarkStart w:id="99" w:name="_Toc26801"/>
      <w:bookmarkStart w:id="100" w:name="_Toc6072"/>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三、 </w:t>
      </w:r>
      <w:r>
        <w:rPr>
          <w:rFonts w:ascii="方正仿宋_GBK" w:hAnsi="方正仿宋_GBK" w:eastAsia="方正仿宋_GBK"/>
        </w:rPr>
        <w:t xml:space="preserve"> </w:t>
      </w:r>
      <w:r>
        <w:rPr>
          <w:rFonts w:hint="eastAsia" w:ascii="方正仿宋_GBK" w:hAnsi="方正仿宋_GBK" w:eastAsia="方正仿宋_GBK"/>
        </w:rPr>
        <w:t>申报纳税</w:t>
      </w:r>
      <w:bookmarkEnd w:id="93"/>
      <w:bookmarkEnd w:id="94"/>
      <w:bookmarkEnd w:id="95"/>
      <w:bookmarkEnd w:id="96"/>
      <w:bookmarkEnd w:id="97"/>
      <w:bookmarkEnd w:id="98"/>
      <w:bookmarkEnd w:id="99"/>
      <w:bookmarkEnd w:id="100"/>
      <w:bookmarkStart w:id="101" w:name="_Toc43160461"/>
      <w:bookmarkStart w:id="102" w:name="_Toc43160462"/>
      <w:bookmarkStart w:id="103" w:name="_Toc127988714"/>
    </w:p>
    <w:p>
      <w:pPr>
        <w:pStyle w:val="4"/>
        <w:rPr>
          <w:rFonts w:ascii="方正仿宋_GBK" w:hAnsi="方正仿宋_GBK" w:eastAsia="方正仿宋_GBK"/>
        </w:rPr>
      </w:pPr>
      <w:bookmarkStart w:id="104" w:name="_Toc1826"/>
      <w:bookmarkStart w:id="105" w:name="_Toc29705"/>
      <w:bookmarkStart w:id="106" w:name="_Toc17685"/>
      <w:bookmarkStart w:id="107" w:name="_Toc3873"/>
      <w:bookmarkStart w:id="108" w:name="_Toc25288"/>
      <w:bookmarkStart w:id="109" w:name="_Toc23709"/>
      <w:bookmarkStart w:id="110" w:name="_Toc31439"/>
      <w:r>
        <w:rPr>
          <w:rFonts w:hint="eastAsia" w:ascii="方正仿宋_GBK" w:hAnsi="方正仿宋_GBK" w:eastAsia="方正仿宋_GBK"/>
        </w:rPr>
        <w:t>10.</w:t>
      </w:r>
      <w:r>
        <w:rPr>
          <w:rFonts w:ascii="方正仿宋_GBK" w:hAnsi="方正仿宋_GBK" w:eastAsia="方正仿宋_GBK"/>
        </w:rPr>
        <w:t>增值税一般纳税人申报</w:t>
      </w:r>
      <w:bookmarkEnd w:id="101"/>
      <w:bookmarkEnd w:id="104"/>
      <w:bookmarkEnd w:id="105"/>
      <w:bookmarkEnd w:id="106"/>
      <w:bookmarkEnd w:id="107"/>
      <w:bookmarkEnd w:id="108"/>
      <w:bookmarkEnd w:id="109"/>
      <w:bookmarkEnd w:id="110"/>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1" w:name="_Toc10064"/>
      <w:bookmarkStart w:id="112" w:name="_Toc6866"/>
      <w:bookmarkStart w:id="113" w:name="_Toc20773"/>
      <w:bookmarkStart w:id="114" w:name="_Toc21204"/>
      <w:bookmarkStart w:id="115" w:name="_Toc6682"/>
      <w:bookmarkStart w:id="116" w:name="_Toc4199"/>
      <w:bookmarkStart w:id="117" w:name="_Toc21106"/>
      <w:r>
        <w:rPr>
          <w:rFonts w:hint="eastAsia" w:ascii="方正仿宋_GBK" w:hAnsi="方正仿宋_GBK" w:eastAsia="方正仿宋_GBK" w:cs="黑体"/>
          <w:b/>
          <w:bCs/>
          <w:sz w:val="24"/>
        </w:rPr>
        <w:t>10.2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2"/>
      <w:bookmarkEnd w:id="103"/>
      <w:bookmarkEnd w:id="111"/>
      <w:bookmarkEnd w:id="112"/>
      <w:bookmarkEnd w:id="113"/>
      <w:bookmarkEnd w:id="114"/>
      <w:bookmarkEnd w:id="115"/>
      <w:bookmarkEnd w:id="116"/>
      <w:bookmarkEnd w:id="11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18" w:name="_Toc127988720"/>
      <w:bookmarkStart w:id="119" w:name="_Toc27639"/>
      <w:bookmarkStart w:id="120" w:name="_Toc28856"/>
      <w:bookmarkStart w:id="121" w:name="_Toc13530"/>
      <w:bookmarkStart w:id="122" w:name="_Toc43160468"/>
      <w:bookmarkStart w:id="123" w:name="_Toc15720"/>
      <w:bookmarkStart w:id="124" w:name="_Toc3026"/>
      <w:bookmarkStart w:id="125" w:name="_Toc28401"/>
      <w:bookmarkStart w:id="126" w:name="_Toc21826"/>
    </w:p>
    <w:p>
      <w:pPr>
        <w:pStyle w:val="4"/>
        <w:rPr>
          <w:rFonts w:ascii="方正仿宋_GBK" w:hAnsi="方正仿宋_GBK" w:eastAsia="方正仿宋_GBK" w:cs="黑体"/>
          <w:sz w:val="24"/>
        </w:rPr>
      </w:pPr>
      <w:r>
        <w:rPr>
          <w:rFonts w:hint="eastAsia" w:ascii="方正仿宋_GBK" w:hAnsi="方正仿宋_GBK" w:eastAsia="方正仿宋_GBK"/>
        </w:rPr>
        <w:t>12.车辆购置税申报</w:t>
      </w:r>
      <w:bookmarkEnd w:id="118"/>
      <w:bookmarkEnd w:id="119"/>
      <w:bookmarkEnd w:id="120"/>
      <w:bookmarkEnd w:id="121"/>
      <w:bookmarkEnd w:id="122"/>
      <w:bookmarkEnd w:id="123"/>
      <w:bookmarkEnd w:id="124"/>
      <w:bookmarkEnd w:id="125"/>
      <w:bookmarkEnd w:id="126"/>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整车出厂合格证或者《车辆电子信息单》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振兴区税务局各分局（所）办税服务厅车辆购置税窗口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27" w:name="_Toc13427"/>
      <w:bookmarkStart w:id="128" w:name="_Toc132"/>
      <w:bookmarkStart w:id="129" w:name="_Toc11943"/>
      <w:bookmarkStart w:id="130" w:name="_Toc9843"/>
      <w:bookmarkStart w:id="131" w:name="_Toc43160473"/>
      <w:bookmarkStart w:id="132" w:name="_Toc14940"/>
      <w:bookmarkStart w:id="133" w:name="_Toc127988725"/>
      <w:bookmarkStart w:id="134" w:name="_Toc20733"/>
      <w:bookmarkStart w:id="135" w:name="_Toc23364"/>
      <w:r>
        <w:rPr>
          <w:rFonts w:hint="eastAsia" w:ascii="方正仿宋_GBK" w:hAnsi="方正仿宋_GBK" w:eastAsia="方正仿宋_GBK"/>
        </w:rPr>
        <w:t>13.居民企业（查账征收）企业所得税年度申报</w:t>
      </w:r>
      <w:bookmarkEnd w:id="127"/>
      <w:bookmarkEnd w:id="128"/>
      <w:bookmarkEnd w:id="129"/>
      <w:bookmarkEnd w:id="130"/>
      <w:bookmarkEnd w:id="131"/>
      <w:bookmarkEnd w:id="132"/>
      <w:bookmarkEnd w:id="133"/>
      <w:bookmarkEnd w:id="134"/>
      <w:bookmarkEnd w:id="13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6" w:name="_Toc11788"/>
      <w:bookmarkStart w:id="137" w:name="_Toc13170"/>
      <w:bookmarkStart w:id="138" w:name="_Toc20845"/>
      <w:bookmarkStart w:id="139" w:name="_Toc133"/>
      <w:bookmarkStart w:id="140" w:name="_Toc22459"/>
      <w:bookmarkStart w:id="141" w:name="_Toc4018"/>
      <w:bookmarkStart w:id="142" w:name="_Toc18733"/>
      <w:r>
        <w:rPr>
          <w:rFonts w:hint="eastAsia" w:ascii="方正仿宋_GBK" w:hAnsi="方正仿宋_GBK" w:eastAsia="方正仿宋_GBK"/>
        </w:rPr>
        <w:t>14.</w:t>
      </w:r>
      <w:r>
        <w:rPr>
          <w:rFonts w:ascii="方正仿宋_GBK" w:hAnsi="方正仿宋_GBK" w:eastAsia="方正仿宋_GBK"/>
        </w:rPr>
        <w:t>房产税申报</w:t>
      </w:r>
      <w:bookmarkEnd w:id="136"/>
      <w:bookmarkEnd w:id="137"/>
      <w:bookmarkEnd w:id="138"/>
      <w:bookmarkEnd w:id="139"/>
      <w:bookmarkEnd w:id="140"/>
      <w:bookmarkEnd w:id="141"/>
      <w:bookmarkEnd w:id="14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43" w:name="_Toc19133"/>
      <w:bookmarkStart w:id="144" w:name="_Toc127988731"/>
      <w:bookmarkStart w:id="145" w:name="_Toc22516"/>
      <w:bookmarkStart w:id="146" w:name="_Toc22782"/>
      <w:bookmarkStart w:id="147" w:name="_Toc26990"/>
      <w:bookmarkStart w:id="148" w:name="_Toc30762"/>
      <w:bookmarkStart w:id="149" w:name="_Toc43160479"/>
      <w:bookmarkStart w:id="150" w:name="_Toc8195"/>
      <w:bookmarkStart w:id="151" w:name="_Toc12300"/>
      <w:r>
        <w:rPr>
          <w:rFonts w:hint="eastAsia" w:ascii="方正仿宋_GBK" w:hAnsi="方正仿宋_GBK" w:eastAsia="方正仿宋_GBK"/>
        </w:rPr>
        <w:t>15.</w:t>
      </w:r>
      <w:r>
        <w:rPr>
          <w:rFonts w:ascii="方正仿宋_GBK" w:hAnsi="方正仿宋_GBK" w:eastAsia="方正仿宋_GBK"/>
        </w:rPr>
        <w:t>城镇土地使用税申报</w:t>
      </w:r>
      <w:bookmarkEnd w:id="143"/>
      <w:bookmarkEnd w:id="144"/>
      <w:bookmarkEnd w:id="145"/>
      <w:bookmarkEnd w:id="146"/>
      <w:bookmarkEnd w:id="147"/>
      <w:bookmarkEnd w:id="148"/>
      <w:bookmarkEnd w:id="149"/>
      <w:bookmarkEnd w:id="150"/>
      <w:bookmarkEnd w:id="151"/>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2" w:name="_Toc7499"/>
      <w:bookmarkStart w:id="153" w:name="_Toc32222"/>
      <w:bookmarkStart w:id="154" w:name="_Toc6898"/>
      <w:bookmarkStart w:id="155" w:name="_Toc127988742"/>
      <w:bookmarkStart w:id="156" w:name="_Toc25702"/>
      <w:bookmarkStart w:id="157" w:name="_Toc16918"/>
      <w:bookmarkStart w:id="158" w:name="_Toc24734"/>
      <w:bookmarkStart w:id="159" w:name="_Toc43160490"/>
      <w:bookmarkStart w:id="160" w:name="_Toc25922"/>
      <w:bookmarkStart w:id="161" w:name="_Toc6118"/>
      <w:bookmarkStart w:id="162" w:name="_Toc20175"/>
      <w:bookmarkStart w:id="163" w:name="_Toc15377"/>
      <w:bookmarkStart w:id="164" w:name="_Toc9397"/>
      <w:bookmarkStart w:id="165" w:name="_Toc26433"/>
      <w:bookmarkStart w:id="166" w:name="_Toc127988759"/>
      <w:bookmarkStart w:id="167" w:name="_Toc23605"/>
      <w:bookmarkStart w:id="168" w:name="_Toc13879"/>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16.</w:t>
      </w:r>
      <w:r>
        <w:rPr>
          <w:rFonts w:ascii="方正仿宋_GBK" w:hAnsi="方正仿宋_GBK" w:eastAsia="方正仿宋_GBK"/>
        </w:rPr>
        <w:t>契税申报</w:t>
      </w:r>
      <w:bookmarkEnd w:id="152"/>
      <w:bookmarkEnd w:id="153"/>
      <w:bookmarkEnd w:id="154"/>
      <w:bookmarkEnd w:id="155"/>
      <w:bookmarkEnd w:id="156"/>
      <w:bookmarkEnd w:id="157"/>
      <w:bookmarkEnd w:id="158"/>
      <w:bookmarkEnd w:id="159"/>
      <w:bookmarkEnd w:id="160"/>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1"/>
    <w:bookmarkEnd w:id="162"/>
    <w:bookmarkEnd w:id="163"/>
    <w:bookmarkEnd w:id="164"/>
    <w:bookmarkEnd w:id="165"/>
    <w:bookmarkEnd w:id="166"/>
    <w:bookmarkEnd w:id="167"/>
    <w:bookmarkEnd w:id="168"/>
    <w:p>
      <w:pPr>
        <w:pStyle w:val="4"/>
        <w:rPr>
          <w:rFonts w:ascii="方正仿宋_GBK" w:hAnsi="方正仿宋_GBK" w:eastAsia="方正仿宋_GBK"/>
        </w:rPr>
      </w:pPr>
      <w:r>
        <w:rPr>
          <w:rFonts w:hint="eastAsia" w:ascii="方正仿宋_GBK" w:hAnsi="方正仿宋_GBK" w:eastAsia="方正仿宋_GBK"/>
        </w:rPr>
        <w:t>17.房地产交易税费申报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增量房交易税收申报表》或《存量房交易税费申报表》或《土地出让转让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增量房（</w:t>
      </w:r>
      <w:r>
        <w:rPr>
          <w:rFonts w:hint="eastAsia" w:ascii="方正仿宋_GBK" w:hAnsi="方正仿宋_GBK" w:eastAsia="方正仿宋_GBK" w:cs="Calibri"/>
          <w:sz w:val="24"/>
        </w:rPr>
        <w:t>一手</w:t>
      </w:r>
      <w:r>
        <w:rPr>
          <w:rFonts w:hint="eastAsia" w:ascii="方正仿宋_GBK" w:hAnsi="方正仿宋_GBK" w:eastAsia="方正仿宋_GBK" w:cs="宋体"/>
          <w:sz w:val="24"/>
        </w:rPr>
        <w:t>房）交易纳税人，提供《增量房交易税收申报表》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③土地出让转让纳税人</w:t>
      </w:r>
      <w:r>
        <w:rPr>
          <w:rFonts w:hint="eastAsia" w:ascii="方正仿宋_GBK" w:hAnsi="方正仿宋_GBK" w:eastAsia="方正仿宋_GBK" w:cs="Calibri"/>
          <w:sz w:val="24"/>
        </w:rPr>
        <w:t>，提供</w:t>
      </w:r>
      <w:r>
        <w:rPr>
          <w:rFonts w:ascii="方正仿宋_GBK" w:hAnsi="方正仿宋_GBK" w:eastAsia="方正仿宋_GBK" w:cs="Calibri"/>
          <w:sz w:val="24"/>
        </w:rPr>
        <w:t>《土地出让转让税费申报表》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firstLineChars="20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振兴区政务服务中心2楼不动产登记服务大厅税务窗口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169" w:name="_Toc4313"/>
      <w:bookmarkStart w:id="170" w:name="_Toc128733558"/>
      <w:bookmarkStart w:id="171" w:name="_Toc127988855"/>
      <w:bookmarkStart w:id="172" w:name="_Toc5194"/>
      <w:bookmarkStart w:id="173" w:name="_Toc2826"/>
      <w:bookmarkStart w:id="174" w:name="_Toc127988857"/>
      <w:bookmarkStart w:id="175" w:name="_Toc10909"/>
      <w:bookmarkStart w:id="176" w:name="_Toc31189"/>
      <w:bookmarkStart w:id="177" w:name="_Toc25985"/>
      <w:bookmarkStart w:id="178" w:name="_Toc1767"/>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69"/>
      <w:bookmarkEnd w:id="170"/>
      <w:bookmarkEnd w:id="171"/>
      <w:bookmarkEnd w:id="172"/>
      <w:bookmarkEnd w:id="173"/>
      <w:bookmarkEnd w:id="174"/>
      <w:bookmarkEnd w:id="175"/>
      <w:bookmarkEnd w:id="176"/>
      <w:bookmarkEnd w:id="177"/>
      <w:bookmarkEnd w:id="178"/>
    </w:p>
    <w:p>
      <w:pPr>
        <w:pStyle w:val="3"/>
        <w:rPr>
          <w:rFonts w:ascii="方正仿宋_GBK" w:hAnsi="方正仿宋_GBK" w:eastAsia="方正仿宋_GBK"/>
        </w:rPr>
      </w:pPr>
      <w:r>
        <w:rPr>
          <w:rFonts w:hint="eastAsia" w:ascii="方正仿宋_GBK" w:hAnsi="方正仿宋_GBK" w:eastAsia="方正仿宋_GBK"/>
        </w:rPr>
        <w:t xml:space="preserve">四、 </w:t>
      </w:r>
      <w:r>
        <w:rPr>
          <w:rFonts w:ascii="方正仿宋_GBK" w:hAnsi="方正仿宋_GBK" w:eastAsia="方正仿宋_GBK"/>
        </w:rPr>
        <w:t xml:space="preserve"> 优惠办理</w:t>
      </w:r>
    </w:p>
    <w:p>
      <w:pPr>
        <w:pStyle w:val="4"/>
        <w:rPr>
          <w:rFonts w:ascii="方正仿宋_GBK" w:hAnsi="方正仿宋_GBK" w:eastAsia="方正仿宋_GBK"/>
        </w:rPr>
      </w:pPr>
      <w:bookmarkStart w:id="179" w:name="_Toc16933"/>
      <w:bookmarkStart w:id="180" w:name="_Toc3806"/>
      <w:bookmarkStart w:id="181" w:name="_Toc4932"/>
      <w:bookmarkStart w:id="182" w:name="_Toc19835"/>
      <w:bookmarkStart w:id="183" w:name="_Toc28398"/>
      <w:bookmarkStart w:id="184" w:name="_Toc25063"/>
      <w:bookmarkStart w:id="185" w:name="_Toc10531"/>
      <w:r>
        <w:rPr>
          <w:rFonts w:hint="eastAsia" w:ascii="方正仿宋_GBK" w:hAnsi="方正仿宋_GBK" w:eastAsia="方正仿宋_GBK"/>
        </w:rPr>
        <w:t>18.</w:t>
      </w:r>
      <w:r>
        <w:rPr>
          <w:rFonts w:ascii="方正仿宋_GBK" w:hAnsi="方正仿宋_GBK" w:eastAsia="方正仿宋_GBK"/>
        </w:rPr>
        <w:t>申报享受税收减免</w:t>
      </w:r>
      <w:bookmarkEnd w:id="179"/>
      <w:bookmarkEnd w:id="180"/>
      <w:bookmarkEnd w:id="181"/>
      <w:bookmarkEnd w:id="182"/>
      <w:bookmarkEnd w:id="183"/>
      <w:bookmarkEnd w:id="184"/>
      <w:bookmarkEnd w:id="185"/>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186" w:name="_Toc4793"/>
      <w:bookmarkStart w:id="187" w:name="_Toc10435"/>
      <w:bookmarkStart w:id="188" w:name="_Toc11691"/>
      <w:bookmarkStart w:id="189" w:name="_Toc26936"/>
      <w:bookmarkStart w:id="190" w:name="_Toc26796"/>
      <w:bookmarkStart w:id="191" w:name="_Toc31871"/>
      <w:bookmarkStart w:id="192" w:name="_Toc127988903"/>
      <w:bookmarkStart w:id="193" w:name="_Toc6269"/>
      <w:bookmarkStart w:id="194" w:name="_Toc128733559"/>
      <w:r>
        <w:rPr>
          <w:rFonts w:hint="eastAsia" w:ascii="方正仿宋_GBK" w:hAnsi="方正仿宋_GBK" w:eastAsia="方正仿宋_GBK"/>
        </w:rPr>
        <w:t xml:space="preserve">五、 </w:t>
      </w:r>
      <w:r>
        <w:rPr>
          <w:rFonts w:ascii="方正仿宋_GBK" w:hAnsi="方正仿宋_GBK" w:eastAsia="方正仿宋_GBK"/>
        </w:rPr>
        <w:t xml:space="preserve"> 证明办理</w:t>
      </w:r>
      <w:bookmarkEnd w:id="186"/>
      <w:bookmarkEnd w:id="187"/>
      <w:bookmarkEnd w:id="188"/>
      <w:bookmarkEnd w:id="189"/>
      <w:bookmarkEnd w:id="190"/>
      <w:bookmarkEnd w:id="191"/>
      <w:bookmarkEnd w:id="192"/>
      <w:bookmarkEnd w:id="193"/>
      <w:bookmarkEnd w:id="194"/>
    </w:p>
    <w:p>
      <w:pPr>
        <w:pStyle w:val="4"/>
        <w:rPr>
          <w:rFonts w:ascii="方正仿宋_GBK" w:hAnsi="方正仿宋_GBK" w:eastAsia="方正仿宋_GBK"/>
        </w:rPr>
      </w:pPr>
      <w:bookmarkStart w:id="195" w:name="_Toc9432"/>
      <w:bookmarkStart w:id="196" w:name="_Toc25586"/>
      <w:bookmarkStart w:id="197" w:name="_Toc19570"/>
      <w:bookmarkStart w:id="198" w:name="_Toc15726"/>
      <w:bookmarkStart w:id="199" w:name="_Toc22797"/>
      <w:bookmarkStart w:id="200" w:name="_Toc127988905"/>
      <w:bookmarkStart w:id="201" w:name="_Toc14071"/>
      <w:bookmarkStart w:id="202" w:name="_Toc28585"/>
      <w:r>
        <w:rPr>
          <w:rFonts w:hint="eastAsia" w:ascii="方正仿宋_GBK" w:hAnsi="方正仿宋_GBK" w:eastAsia="方正仿宋_GBK"/>
        </w:rPr>
        <w:t>19.</w:t>
      </w:r>
      <w:r>
        <w:rPr>
          <w:rFonts w:ascii="方正仿宋_GBK" w:hAnsi="方正仿宋_GBK" w:eastAsia="方正仿宋_GBK"/>
        </w:rPr>
        <w:t>开具税收完税证明</w:t>
      </w:r>
      <w:bookmarkEnd w:id="195"/>
      <w:bookmarkEnd w:id="196"/>
      <w:bookmarkEnd w:id="197"/>
      <w:bookmarkEnd w:id="198"/>
      <w:bookmarkEnd w:id="199"/>
      <w:bookmarkEnd w:id="200"/>
      <w:bookmarkEnd w:id="201"/>
      <w:bookmarkEnd w:id="202"/>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203" w:name="_Toc7988"/>
      <w:bookmarkStart w:id="204" w:name="_Toc127988907"/>
      <w:bookmarkStart w:id="205" w:name="_Toc934"/>
      <w:bookmarkStart w:id="206" w:name="_Toc20680"/>
      <w:bookmarkStart w:id="207" w:name="_Toc23701"/>
      <w:bookmarkStart w:id="208" w:name="_Toc25324"/>
      <w:bookmarkStart w:id="209" w:name="_Toc23795"/>
      <w:bookmarkStart w:id="210" w:name="_Toc13109"/>
      <w:r>
        <w:rPr>
          <w:rFonts w:hint="eastAsia" w:ascii="方正仿宋_GBK" w:hAnsi="方正仿宋_GBK" w:eastAsia="方正仿宋_GBK" w:cs="黑体"/>
          <w:b/>
          <w:bCs/>
          <w:sz w:val="24"/>
        </w:rPr>
        <w:t>19.2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20.开具无欠税证明</w:t>
      </w:r>
      <w:bookmarkEnd w:id="203"/>
      <w:bookmarkEnd w:id="204"/>
      <w:bookmarkEnd w:id="205"/>
      <w:bookmarkEnd w:id="206"/>
      <w:bookmarkEnd w:id="207"/>
      <w:bookmarkEnd w:id="208"/>
      <w:bookmarkEnd w:id="209"/>
      <w:bookmarkEnd w:id="210"/>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4"/>
    <w:bookmarkEnd w:id="15"/>
    <w:bookmarkEnd w:id="16"/>
    <w:bookmarkEnd w:id="17"/>
    <w:bookmarkEnd w:id="18"/>
    <w:bookmarkEnd w:id="19"/>
    <w:bookmarkEnd w:id="20"/>
    <w:bookmarkEnd w:id="21"/>
    <w:p>
      <w:pPr>
        <w:pStyle w:val="3"/>
        <w:rPr>
          <w:rFonts w:ascii="方正仿宋_GBK" w:hAnsi="方正仿宋_GBK" w:eastAsia="方正仿宋_GBK"/>
        </w:rPr>
      </w:pPr>
      <w:bookmarkStart w:id="211" w:name="_Toc128733561"/>
      <w:r>
        <w:rPr>
          <w:rFonts w:hint="eastAsia" w:ascii="方正仿宋_GBK" w:hAnsi="方正仿宋_GBK" w:eastAsia="方正仿宋_GBK"/>
        </w:rPr>
        <w:t xml:space="preserve">六、 </w:t>
      </w:r>
      <w:r>
        <w:rPr>
          <w:rFonts w:ascii="方正仿宋_GBK" w:hAnsi="方正仿宋_GBK" w:eastAsia="方正仿宋_GBK"/>
        </w:rPr>
        <w:t xml:space="preserve"> 社会保险费及非税收入业务</w:t>
      </w:r>
    </w:p>
    <w:p>
      <w:pPr>
        <w:pStyle w:val="4"/>
        <w:rPr>
          <w:rFonts w:ascii="方正仿宋_GBK" w:hAnsi="方正仿宋_GBK" w:eastAsia="方正仿宋_GBK"/>
        </w:rPr>
      </w:pPr>
      <w:bookmarkStart w:id="212" w:name="_Toc9474"/>
      <w:bookmarkStart w:id="213" w:name="_Toc30015"/>
      <w:bookmarkStart w:id="214" w:name="_Toc30781"/>
      <w:bookmarkStart w:id="215" w:name="_Toc10500"/>
      <w:bookmarkStart w:id="216" w:name="_Toc29989"/>
      <w:bookmarkStart w:id="217" w:name="_Toc3463"/>
      <w:bookmarkStart w:id="218" w:name="_Toc17594"/>
      <w:r>
        <w:rPr>
          <w:rFonts w:hint="eastAsia" w:ascii="方正仿宋_GBK" w:hAnsi="方正仿宋_GBK" w:eastAsia="方正仿宋_GBK"/>
        </w:rPr>
        <w:t>21.单位</w:t>
      </w:r>
      <w:bookmarkEnd w:id="212"/>
      <w:bookmarkEnd w:id="213"/>
      <w:bookmarkEnd w:id="214"/>
      <w:bookmarkEnd w:id="215"/>
      <w:bookmarkEnd w:id="216"/>
      <w:bookmarkEnd w:id="217"/>
      <w:bookmarkEnd w:id="218"/>
      <w:r>
        <w:rPr>
          <w:rFonts w:hint="eastAsia" w:ascii="方正仿宋_GBK" w:hAnsi="方正仿宋_GBK" w:eastAsia="方正仿宋_GBK"/>
        </w:rPr>
        <w:t>社保费确认申报缴费</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Calibri"/>
          <w:sz w:val="24"/>
        </w:rPr>
      </w:pPr>
      <w:bookmarkStart w:id="219" w:name="_Toc18122"/>
      <w:bookmarkStart w:id="220" w:name="_Toc30510"/>
      <w:bookmarkStart w:id="221" w:name="_Toc5418"/>
      <w:bookmarkStart w:id="222" w:name="_Toc16816"/>
      <w:bookmarkStart w:id="223" w:name="_Toc3437"/>
      <w:bookmarkStart w:id="224" w:name="_Toc25376"/>
      <w:bookmarkStart w:id="225" w:name="_Toc247"/>
      <w:r>
        <w:rPr>
          <w:rFonts w:hint="eastAsia" w:ascii="方正仿宋_GBK" w:hAnsi="方正仿宋_GBK" w:eastAsia="方正仿宋_GBK" w:cs="Calibri"/>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22.灵活就业人员社会保险费申报缴费</w:t>
      </w:r>
      <w:bookmarkEnd w:id="219"/>
      <w:bookmarkEnd w:id="220"/>
      <w:bookmarkEnd w:id="221"/>
      <w:bookmarkEnd w:id="222"/>
      <w:bookmarkEnd w:id="223"/>
      <w:bookmarkEnd w:id="224"/>
      <w:bookmarkEnd w:id="22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缴费人向税务机关申报缴纳灵活就业人员社会保险费。灵活就业人员社会保险费申报缴费分灵活就业人员基本养老保险费申报缴费和灵活就业人员基本医疗保险费申报缴费。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《社会保险费缴申报表（适用灵活就业人员）》</w:t>
      </w:r>
      <w:r>
        <w:rPr>
          <w:rFonts w:hint="eastAsia" w:ascii="方正仿宋_GBK" w:hAnsi="方正仿宋_GBK" w:eastAsia="方正仿宋_GBK" w:cs="宋体"/>
          <w:color w:val="000000"/>
          <w:kern w:val="0"/>
          <w:sz w:val="24"/>
          <w:szCs w:val="24"/>
        </w:rPr>
        <w:t>（资料来源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r>
        <w:rPr>
          <w:rFonts w:hint="eastAsia" w:ascii="方正仿宋_GBK" w:hAnsi="方正仿宋_GBK" w:eastAsia="方正仿宋_GBK" w:cs="宋体"/>
          <w:color w:val="000000"/>
          <w:kern w:val="0"/>
          <w:sz w:val="24"/>
          <w:szCs w:val="24"/>
        </w:rPr>
        <w:t>，掌上办或银行（金融机构）办时无需提供资料</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Arial"/>
          <w:sz w:val="24"/>
        </w:rPr>
      </w:pPr>
      <w:r>
        <w:rPr>
          <w:rFonts w:ascii="方正仿宋_GBK" w:hAnsi="方正仿宋_GBK" w:eastAsia="方正仿宋_GBK"/>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26" w:name="_Toc23165"/>
      <w:bookmarkStart w:id="227" w:name="_Toc18910"/>
      <w:bookmarkStart w:id="228" w:name="_Toc9000"/>
      <w:bookmarkStart w:id="229" w:name="_Toc22769"/>
      <w:bookmarkStart w:id="230" w:name="_Toc18549"/>
      <w:bookmarkStart w:id="231" w:name="_Toc24306"/>
      <w:bookmarkStart w:id="232" w:name="_Toc5619"/>
      <w:r>
        <w:rPr>
          <w:rFonts w:hint="eastAsia" w:ascii="方正仿宋_GBK" w:hAnsi="方正仿宋_GBK" w:eastAsia="方正仿宋_GBK"/>
        </w:rPr>
        <w:t>23.城乡居民社会保险费申报缴费</w:t>
      </w:r>
      <w:bookmarkEnd w:id="226"/>
      <w:bookmarkEnd w:id="227"/>
      <w:bookmarkEnd w:id="228"/>
      <w:bookmarkEnd w:id="229"/>
      <w:bookmarkEnd w:id="230"/>
      <w:bookmarkEnd w:id="231"/>
      <w:bookmarkEnd w:id="23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缴费人向税务机关申报缴纳城乡居民基本社会保险费。城乡居民社会保险费申报缴费分城乡居民基本养老保险费申报缴费和城乡居民基本医疗保险费申报缴费。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《社会保险费缴申报表（适用城乡居民个人）》（资料来源</w:t>
      </w:r>
      <w:r>
        <w:rPr>
          <w:rFonts w:ascii="方正仿宋_GBK" w:hAnsi="方正仿宋_GBK" w:eastAsia="方正仿宋_GBK" w:cs="Calibri"/>
          <w:sz w:val="24"/>
        </w:rPr>
        <w:t>:各办税服务厅或国家税务总局辽宁省税务局官网http://liaoning.chinatax.gov.cn中—纳税服务—下载中心—表单下载</w:t>
      </w:r>
      <w:r>
        <w:rPr>
          <w:rFonts w:hint="eastAsia" w:ascii="方正仿宋_GBK" w:hAnsi="方正仿宋_GBK" w:eastAsia="方正仿宋_GBK" w:cs="Calibri"/>
          <w:sz w:val="24"/>
        </w:rPr>
        <w:t>，</w:t>
      </w:r>
      <w:r>
        <w:rPr>
          <w:rFonts w:hint="eastAsia" w:ascii="方正仿宋_GBK" w:hAnsi="方正仿宋_GBK" w:eastAsia="方正仿宋_GBK" w:cs="宋体"/>
          <w:color w:val="000000"/>
          <w:kern w:val="0"/>
          <w:sz w:val="24"/>
          <w:szCs w:val="24"/>
        </w:rPr>
        <w:t>掌上办或银行（金融机构）办时无需提供资料</w:t>
      </w:r>
      <w:r>
        <w:rPr>
          <w:rFonts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33" w:name="_Toc30316"/>
      <w:bookmarkStart w:id="234" w:name="_Toc17099"/>
      <w:bookmarkStart w:id="235" w:name="_Toc17970"/>
      <w:bookmarkStart w:id="236" w:name="_Toc3712"/>
      <w:bookmarkStart w:id="237" w:name="_Toc28726"/>
      <w:bookmarkStart w:id="238" w:name="_Toc1653"/>
      <w:bookmarkStart w:id="239" w:name="_Toc19413"/>
      <w:r>
        <w:rPr>
          <w:rFonts w:hint="eastAsia" w:ascii="方正仿宋_GBK" w:hAnsi="方正仿宋_GBK" w:eastAsia="方正仿宋_GBK" w:cs="黑体"/>
          <w:b/>
          <w:bCs/>
          <w:sz w:val="24"/>
        </w:rPr>
        <w:t>23.3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24.</w:t>
      </w:r>
      <w:r>
        <w:rPr>
          <w:rFonts w:ascii="方正仿宋_GBK" w:hAnsi="方正仿宋_GBK" w:eastAsia="方正仿宋_GBK"/>
        </w:rPr>
        <w:t>残疾人就业保障金申报</w:t>
      </w:r>
      <w:bookmarkEnd w:id="233"/>
      <w:bookmarkEnd w:id="234"/>
      <w:bookmarkEnd w:id="235"/>
      <w:bookmarkEnd w:id="236"/>
      <w:bookmarkEnd w:id="237"/>
      <w:bookmarkEnd w:id="238"/>
      <w:bookmarkEnd w:id="239"/>
    </w:p>
    <w:p>
      <w:pPr>
        <w:wordWrap w:val="0"/>
        <w:spacing w:line="360" w:lineRule="auto"/>
        <w:ind w:firstLine="482"/>
        <w:contextualSpacing/>
        <w:rPr>
          <w:rFonts w:ascii="方正仿宋_GBK" w:hAnsi="方正仿宋_GBK" w:eastAsia="方正仿宋_GBK"/>
        </w:rPr>
      </w:pPr>
      <w:r>
        <w:rPr>
          <w:rFonts w:hint="eastAsia" w:ascii="方正仿宋_GBK" w:hAnsi="方正仿宋_GBK" w:eastAsia="方正仿宋_GBK" w:cs="宋体"/>
          <w:sz w:val="24"/>
        </w:rPr>
        <w:t>缴费人</w:t>
      </w:r>
      <w:r>
        <w:rPr>
          <w:rFonts w:ascii="方正仿宋_GBK" w:hAnsi="方正仿宋_GBK" w:eastAsia="方正仿宋_GBK" w:cs="宋体"/>
          <w:sz w:val="24"/>
        </w:rPr>
        <w:t>未按规定比例安排残疾人就业的，应依照</w:t>
      </w:r>
      <w:r>
        <w:rPr>
          <w:rFonts w:hint="eastAsia" w:ascii="方正仿宋_GBK" w:hAnsi="方正仿宋_GBK" w:eastAsia="方正仿宋_GBK" w:cs="宋体"/>
          <w:sz w:val="24"/>
        </w:rPr>
        <w:t>规定的</w:t>
      </w:r>
      <w:r>
        <w:rPr>
          <w:rFonts w:ascii="方正仿宋_GBK" w:hAnsi="方正仿宋_GBK" w:eastAsia="方正仿宋_GBK" w:cs="宋体"/>
          <w:sz w:val="24"/>
        </w:rPr>
        <w:t>申报期限、申报内容，向税务机关申报缴纳残疾人就业保障金。</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《残疾人就业保障金缴费申报表》</w:t>
      </w:r>
      <w:r>
        <w:rPr>
          <w:rFonts w:hint="eastAsia" w:ascii="方正仿宋_GBK" w:hAnsi="方正仿宋_GBK" w:eastAsia="方正仿宋_GBK" w:cs="宋体"/>
          <w:color w:val="000000"/>
          <w:kern w:val="0"/>
          <w:sz w:val="24"/>
          <w:szCs w:val="24"/>
        </w:rPr>
        <w:t>（资料来源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25.矿区使用费申报</w:t>
      </w:r>
    </w:p>
    <w:p>
      <w:pPr>
        <w:widowControl/>
        <w:ind w:firstLine="480" w:firstLineChars="200"/>
        <w:jc w:val="left"/>
        <w:rPr>
          <w:rFonts w:ascii="方正仿宋_GBK" w:hAnsi="方正仿宋_GBK" w:eastAsia="方正仿宋_GBK"/>
        </w:rPr>
      </w:pPr>
      <w:r>
        <w:rPr>
          <w:rFonts w:hint="eastAsia" w:ascii="方正仿宋_GBK" w:hAnsi="方正仿宋_GBK" w:eastAsia="方正仿宋_GBK" w:cs="宋体"/>
          <w:color w:val="000000"/>
          <w:kern w:val="0"/>
          <w:sz w:val="24"/>
          <w:szCs w:val="24"/>
        </w:rPr>
        <w:t xml:space="preserve">缴费人在中华人民共和国内海、领海、大陆架及其他属于中华人民共和国行使管辖权的海域内依法从事开采海洋石油资源，以及在中华人民共和国境内从事合作开采陆上石油资源，应在规定缴纳期限内填报《中华人民共和国国家税务总局矿区使用费预缴申报表》和其他相关资料，向税务机关申报缴纳矿区使用费。 </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360" w:lineRule="auto"/>
        <w:ind w:firstLine="480"/>
        <w:rPr>
          <w:rFonts w:ascii="方正仿宋_GBK" w:hAnsi="方正仿宋_GBK" w:eastAsia="方正仿宋_GBK" w:cs="黑体"/>
          <w:b/>
          <w:bCs/>
          <w:sz w:val="24"/>
        </w:rPr>
      </w:pPr>
      <w:r>
        <w:rPr>
          <w:rFonts w:ascii="方正仿宋_GBK" w:hAnsi="方正仿宋_GBK" w:eastAsia="方正仿宋_GBK" w:cs="Calibri"/>
          <w:sz w:val="24"/>
        </w:rPr>
        <w:t>①</w:t>
      </w:r>
      <w:r>
        <w:rPr>
          <w:rFonts w:hint="eastAsia" w:ascii="方正仿宋_GBK" w:hAnsi="方正仿宋_GBK" w:eastAsia="方正仿宋_GBK" w:cs="宋体"/>
          <w:color w:val="000000"/>
          <w:kern w:val="0"/>
          <w:sz w:val="24"/>
          <w:szCs w:val="24"/>
        </w:rPr>
        <w:t>《中华人民共和国国家税务总局矿区使用费预缴申报表》（资料来源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Calibri"/>
          <w:sz w:val="24"/>
        </w:rPr>
        <w:t>②</w:t>
      </w:r>
      <w:r>
        <w:rPr>
          <w:rFonts w:hint="eastAsia" w:ascii="方正仿宋_GBK" w:hAnsi="方正仿宋_GBK" w:eastAsia="方正仿宋_GBK" w:cs="宋体"/>
          <w:color w:val="000000"/>
          <w:kern w:val="0"/>
          <w:sz w:val="24"/>
          <w:szCs w:val="24"/>
        </w:rPr>
        <w:t>《中华人民共和国国家税务总局矿区使用费年度申报表》（年度终了后汇算清缴矿区使用费的企业报送）（资料来源</w:t>
      </w:r>
      <w:r>
        <w:rPr>
          <w:rFonts w:ascii="方正仿宋_GBK" w:hAnsi="方正仿宋_GBK" w:eastAsia="方正仿宋_GBK" w:cs="宋体"/>
          <w:color w:val="000000"/>
          <w:kern w:val="0"/>
          <w:sz w:val="24"/>
          <w:szCs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theme="minorHAnsi"/>
          <w:sz w:val="24"/>
        </w:rPr>
        <w:t>③</w:t>
      </w:r>
      <w:r>
        <w:rPr>
          <w:rFonts w:hint="eastAsia" w:ascii="方正仿宋_GBK" w:hAnsi="方正仿宋_GBK" w:eastAsia="方正仿宋_GBK" w:cs="宋体"/>
          <w:color w:val="000000"/>
          <w:kern w:val="0"/>
          <w:sz w:val="24"/>
          <w:szCs w:val="24"/>
        </w:rPr>
        <w:t>油（气）田的产量资料（油（气）田的作业者在季度终了后10日内报送）（资料来源</w:t>
      </w:r>
      <w:r>
        <w:rPr>
          <w:rFonts w:ascii="方正仿宋_GBK" w:hAnsi="方正仿宋_GBK" w:eastAsia="方正仿宋_GBK" w:cs="宋体"/>
          <w:color w:val="000000"/>
          <w:kern w:val="0"/>
          <w:sz w:val="24"/>
          <w:szCs w:val="24"/>
        </w:rPr>
        <w:t>:</w:t>
      </w:r>
      <w:r>
        <w:rPr>
          <w:rFonts w:hint="eastAsia" w:ascii="方正仿宋_GBK" w:hAnsi="方正仿宋_GBK" w:eastAsia="方正仿宋_GBK" w:cs="宋体"/>
          <w:color w:val="000000"/>
          <w:kern w:val="0"/>
          <w:sz w:val="24"/>
          <w:szCs w:val="24"/>
        </w:rPr>
        <w:t>缴费人</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宋体"/>
          <w:color w:val="000000"/>
          <w:kern w:val="0"/>
          <w:sz w:val="24"/>
          <w:szCs w:val="24"/>
        </w:rPr>
      </w:pPr>
      <w:r>
        <w:rPr>
          <w:rFonts w:ascii="方正仿宋_GBK" w:hAnsi="方正仿宋_GBK" w:eastAsia="方正仿宋_GBK" w:cs="Calibri"/>
          <w:sz w:val="24"/>
        </w:rPr>
        <w:t>④</w:t>
      </w:r>
      <w:r>
        <w:rPr>
          <w:rFonts w:hint="eastAsia" w:ascii="方正仿宋_GBK" w:hAnsi="方正仿宋_GBK" w:eastAsia="方正仿宋_GBK" w:cs="宋体"/>
          <w:color w:val="000000"/>
          <w:kern w:val="0"/>
          <w:sz w:val="24"/>
          <w:szCs w:val="24"/>
        </w:rPr>
        <w:t>油（气）田的产量、分配量、销售量资料（资料来源</w:t>
      </w:r>
      <w:r>
        <w:rPr>
          <w:rFonts w:ascii="方正仿宋_GBK" w:hAnsi="方正仿宋_GBK" w:eastAsia="方正仿宋_GBK" w:cs="宋体"/>
          <w:color w:val="000000"/>
          <w:kern w:val="0"/>
          <w:sz w:val="24"/>
          <w:szCs w:val="24"/>
        </w:rPr>
        <w:t>:</w:t>
      </w:r>
      <w:r>
        <w:rPr>
          <w:rFonts w:hint="eastAsia" w:ascii="方正仿宋_GBK" w:hAnsi="方正仿宋_GBK" w:eastAsia="方正仿宋_GBK" w:cs="宋体"/>
          <w:color w:val="000000"/>
          <w:kern w:val="0"/>
          <w:sz w:val="24"/>
          <w:szCs w:val="24"/>
        </w:rPr>
        <w:t>缴费人</w:t>
      </w:r>
      <w:r>
        <w:rPr>
          <w:rFonts w:ascii="方正仿宋_GBK" w:hAnsi="方正仿宋_GBK" w:eastAsia="方正仿宋_GBK" w:cs="宋体"/>
          <w:color w:val="000000"/>
          <w:kern w:val="0"/>
          <w:sz w:val="24"/>
          <w:szCs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振兴区税务局各分局（所）办税服务厅综合窗口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七、 </w:t>
      </w:r>
      <w:r>
        <w:rPr>
          <w:rFonts w:ascii="方正仿宋_GBK" w:hAnsi="方正仿宋_GBK" w:eastAsia="方正仿宋_GBK"/>
        </w:rPr>
        <w:t xml:space="preserve"> </w:t>
      </w:r>
      <w:r>
        <w:rPr>
          <w:rFonts w:hint="eastAsia" w:ascii="方正仿宋_GBK" w:hAnsi="方正仿宋_GBK" w:eastAsia="方正仿宋_GBK"/>
        </w:rPr>
        <w:t>国际税收业务</w:t>
      </w:r>
      <w:bookmarkEnd w:id="211"/>
    </w:p>
    <w:p>
      <w:pPr>
        <w:pStyle w:val="4"/>
        <w:ind w:firstLine="640" w:firstLineChars="200"/>
        <w:rPr>
          <w:rFonts w:ascii="方正仿宋_GBK" w:hAnsi="方正仿宋_GBK" w:eastAsia="方正仿宋_GBK"/>
        </w:rPr>
      </w:pPr>
      <w:r>
        <w:rPr>
          <w:rFonts w:hint="eastAsia" w:ascii="方正仿宋_GBK" w:hAnsi="方正仿宋_GBK" w:eastAsia="方正仿宋_GBK"/>
        </w:rPr>
        <w:t>26.境内机构和个人发包工程作业或劳务项目备案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非居民发包工程作业或劳务项目的，应当自项目合同签订之日起30日内，向主管税务机关办理合同备案；纳税人发包工程作业或劳务项目变更的，应于项目合同变更之日起10日内，向主管税务机关办理变更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2"/>
        <w:rPr>
          <w:rFonts w:ascii="方正仿宋_GBK" w:hAnsi="方正仿宋_GBK" w:eastAsia="方正仿宋_GBK" w:cs="微软雅黑"/>
          <w:sz w:val="24"/>
        </w:rPr>
      </w:pPr>
      <w:r>
        <w:rPr>
          <w:rFonts w:hint="eastAsia" w:ascii="方正仿宋_GBK" w:hAnsi="方正仿宋_GBK" w:eastAsia="方正仿宋_GBK" w:cs="微软雅黑"/>
          <w:sz w:val="24"/>
        </w:rPr>
        <w:t>⑴</w:t>
      </w:r>
      <w:r>
        <w:rPr>
          <w:rFonts w:ascii="方正仿宋_GBK" w:hAnsi="方正仿宋_GBK" w:eastAsia="方正仿宋_GBK" w:cs="宋体"/>
          <w:sz w:val="24"/>
        </w:rPr>
        <w:t>合同备案或劳务项目报告：</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①《境内机构和个人发包工程作业或劳务项目报告表》（资料来源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②项目合同（材料文本为外文的，同时附送中文译本）（资料来源：纳税人）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③如是非居民委托境内代理人履行纳税义务的，还需提供税务代理委托书复印件或非居民对有关事项的书面说明（资料来源：纳税人）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④如是非居民企业办理税务登记的，还需提供非居民企业税务登记证（纳税人、税务机关</w:t>
      </w:r>
      <w:r>
        <w:rPr>
          <w:rFonts w:ascii="方正仿宋_GBK" w:hAnsi="方正仿宋_GBK" w:eastAsia="方正仿宋_GBK" w:cs="微软雅黑"/>
          <w:sz w:val="24"/>
        </w:rPr>
        <w:t>）</w:t>
      </w:r>
    </w:p>
    <w:p>
      <w:pPr>
        <w:spacing w:line="360" w:lineRule="auto"/>
        <w:ind w:firstLine="482"/>
        <w:rPr>
          <w:rFonts w:ascii="方正仿宋_GBK" w:hAnsi="方正仿宋_GBK" w:eastAsia="方正仿宋_GBK"/>
          <w:sz w:val="24"/>
        </w:rPr>
      </w:pPr>
      <w:r>
        <w:rPr>
          <w:rFonts w:hint="eastAsia" w:ascii="方正仿宋_GBK" w:hAnsi="方正仿宋_GBK" w:eastAsia="方正仿宋_GBK" w:cs="微软雅黑"/>
          <w:sz w:val="24"/>
        </w:rPr>
        <w:t>⑵</w:t>
      </w:r>
      <w:r>
        <w:rPr>
          <w:rFonts w:ascii="方正仿宋_GBK" w:hAnsi="方正仿宋_GBK" w:eastAsia="方正仿宋_GBK" w:cs="宋体"/>
          <w:sz w:val="24"/>
        </w:rPr>
        <w:t>变更报告：</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《非居民项目合同变更情况报告表》</w:t>
      </w:r>
      <w:r>
        <w:rPr>
          <w:rFonts w:hint="eastAsia" w:ascii="方正仿宋_GBK" w:hAnsi="方正仿宋_GBK" w:eastAsia="方正仿宋_GBK" w:cs="微软雅黑"/>
          <w:sz w:val="24"/>
        </w:rPr>
        <w:t>（资料来源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变更后的合同</w:t>
      </w:r>
      <w:r>
        <w:rPr>
          <w:rFonts w:hint="eastAsia" w:ascii="方正仿宋_GBK" w:hAnsi="方正仿宋_GBK" w:eastAsia="方正仿宋_GBK" w:cs="宋体"/>
          <w:sz w:val="24"/>
        </w:rPr>
        <w:t>（</w:t>
      </w:r>
      <w:r>
        <w:rPr>
          <w:rFonts w:ascii="方正仿宋_GBK" w:hAnsi="方正仿宋_GBK" w:eastAsia="方正仿宋_GBK" w:cs="宋体"/>
          <w:sz w:val="24"/>
        </w:rPr>
        <w:t>材料文本为外文的，同时附送中文译本</w:t>
      </w:r>
      <w:r>
        <w:rPr>
          <w:rFonts w:hint="eastAsia" w:ascii="方正仿宋_GBK" w:hAnsi="方正仿宋_GBK" w:eastAsia="方正仿宋_GBK" w:cs="宋体"/>
          <w:sz w:val="24"/>
        </w:rPr>
        <w:t>）</w:t>
      </w:r>
      <w:r>
        <w:rPr>
          <w:rFonts w:hint="eastAsia" w:ascii="方正仿宋_GBK" w:hAnsi="方正仿宋_GBK" w:eastAsia="方正仿宋_GBK" w:cs="微软雅黑"/>
          <w:sz w:val="24"/>
        </w:rPr>
        <w:t>（资料来源：纳税人）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27.服务贸易等项目对外支付税务备案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27.1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27.2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28.非居民企业企业所得税预缴申报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ascii="方正仿宋_GBK" w:hAnsi="方正仿宋_GBK" w:eastAsia="方正仿宋_GBK"/>
          <w:sz w:val="24"/>
        </w:rPr>
        <w:t>15</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240" w:name="_Toc30337"/>
      <w:bookmarkStart w:id="241" w:name="_Toc1362"/>
      <w:bookmarkStart w:id="242" w:name="_Toc2997"/>
      <w:bookmarkStart w:id="243" w:name="_Toc128733562"/>
      <w:bookmarkStart w:id="244" w:name="_Toc191"/>
      <w:bookmarkStart w:id="245" w:name="_Toc18961"/>
      <w:bookmarkStart w:id="246" w:name="_Toc24955"/>
      <w:bookmarkStart w:id="247" w:name="_Toc886"/>
      <w:r>
        <w:rPr>
          <w:rFonts w:hint="eastAsia" w:ascii="方正仿宋_GBK" w:hAnsi="方正仿宋_GBK" w:eastAsia="方正仿宋_GBK" w:cs="黑体"/>
          <w:b/>
          <w:bCs/>
          <w:sz w:val="24"/>
        </w:rPr>
        <w:t>28.1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《中华人民共和国非居民企业所得税预缴申报表（2019年版）》及相关资料（资料来源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28.2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240"/>
      <w:bookmarkEnd w:id="241"/>
      <w:bookmarkEnd w:id="242"/>
      <w:bookmarkEnd w:id="243"/>
      <w:bookmarkEnd w:id="244"/>
      <w:bookmarkEnd w:id="245"/>
      <w:bookmarkEnd w:id="246"/>
      <w:bookmarkEnd w:id="247"/>
    </w:p>
    <w:p>
      <w:pPr>
        <w:pStyle w:val="4"/>
        <w:ind w:firstLine="419" w:firstLineChars="131"/>
        <w:rPr>
          <w:rFonts w:ascii="方正仿宋_GBK" w:hAnsi="方正仿宋_GBK" w:eastAsia="方正仿宋_GBK"/>
        </w:rPr>
      </w:pPr>
      <w:bookmarkStart w:id="248" w:name="_Toc6671"/>
      <w:bookmarkStart w:id="249" w:name="_Toc1317"/>
      <w:bookmarkStart w:id="250" w:name="_Toc19971"/>
      <w:bookmarkStart w:id="251" w:name="_Toc26738"/>
      <w:bookmarkStart w:id="252" w:name="_Toc24295"/>
      <w:bookmarkStart w:id="253" w:name="_Toc21152"/>
      <w:bookmarkStart w:id="254" w:name="_Toc17367"/>
      <w:r>
        <w:rPr>
          <w:rFonts w:hint="eastAsia" w:ascii="方正仿宋_GBK" w:hAnsi="方正仿宋_GBK" w:eastAsia="方正仿宋_GBK"/>
        </w:rPr>
        <w:t>29.</w:t>
      </w:r>
      <w:r>
        <w:rPr>
          <w:rFonts w:ascii="方正仿宋_GBK" w:hAnsi="方正仿宋_GBK" w:eastAsia="方正仿宋_GBK"/>
        </w:rPr>
        <w:t>居民综合所得个人所得税年度自行申报</w:t>
      </w:r>
      <w:bookmarkEnd w:id="248"/>
      <w:bookmarkEnd w:id="249"/>
      <w:bookmarkEnd w:id="250"/>
      <w:bookmarkEnd w:id="251"/>
      <w:bookmarkEnd w:id="252"/>
      <w:bookmarkEnd w:id="253"/>
      <w:bookmarkEnd w:id="25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ascii="方正仿宋_GBK" w:hAnsi="方正仿宋_GBK" w:eastAsia="方正仿宋_GBK"/>
          <w:sz w:val="24"/>
        </w:rPr>
        <w:t>30</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55" w:name="_Toc25659"/>
      <w:bookmarkStart w:id="256" w:name="_Toc11438"/>
      <w:bookmarkStart w:id="257" w:name="_Toc27888"/>
      <w:bookmarkStart w:id="258" w:name="_Toc16109"/>
      <w:bookmarkStart w:id="259" w:name="_Toc2687"/>
      <w:bookmarkStart w:id="260" w:name="_Toc18188"/>
      <w:bookmarkStart w:id="261" w:name="_Toc3614"/>
      <w:r>
        <w:rPr>
          <w:rFonts w:hint="eastAsia" w:ascii="方正仿宋_GBK" w:hAnsi="方正仿宋_GBK" w:eastAsia="方正仿宋_GBK" w:cs="黑体"/>
          <w:b/>
          <w:bCs/>
          <w:sz w:val="24"/>
        </w:rPr>
        <w:t>29.1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为保障您便捷快速办税缴费，建议您优先选择“掌上办”方式。确需到办税服务厅办理，您可先拨打咨询电话，避免业务高峰期等候，我们为您提供预约服务和延时服务，如有问题可拨打12366咨询投诉。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30.</w:t>
      </w:r>
      <w:r>
        <w:rPr>
          <w:rFonts w:ascii="方正仿宋_GBK" w:hAnsi="方正仿宋_GBK" w:eastAsia="方正仿宋_GBK"/>
        </w:rPr>
        <w:t>经营所得个人所得税年度申报</w:t>
      </w:r>
      <w:bookmarkEnd w:id="255"/>
      <w:bookmarkEnd w:id="256"/>
      <w:bookmarkEnd w:id="257"/>
      <w:bookmarkEnd w:id="258"/>
      <w:bookmarkEnd w:id="259"/>
      <w:bookmarkEnd w:id="260"/>
      <w:bookmarkEnd w:id="261"/>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31</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62" w:name="_Toc12721"/>
      <w:bookmarkStart w:id="263" w:name="_Toc22016"/>
      <w:bookmarkStart w:id="264" w:name="_Toc11968"/>
      <w:bookmarkStart w:id="265" w:name="_Toc29541"/>
      <w:bookmarkStart w:id="266" w:name="_Toc23926"/>
      <w:bookmarkStart w:id="267" w:name="_Toc8000"/>
      <w:bookmarkStart w:id="268" w:name="_Toc23769"/>
      <w:r>
        <w:rPr>
          <w:rFonts w:hint="eastAsia" w:ascii="方正仿宋_GBK" w:hAnsi="方正仿宋_GBK" w:eastAsia="方正仿宋_GBK" w:cs="黑体"/>
          <w:b/>
          <w:bCs/>
          <w:sz w:val="24"/>
        </w:rPr>
        <w:t>30.1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31.</w:t>
      </w:r>
      <w:r>
        <w:rPr>
          <w:rFonts w:ascii="方正仿宋_GBK" w:hAnsi="方正仿宋_GBK" w:eastAsia="方正仿宋_GBK"/>
        </w:rPr>
        <w:t>居民个人取得综合所得个人所得税预扣预缴申报</w:t>
      </w:r>
      <w:bookmarkEnd w:id="262"/>
      <w:bookmarkEnd w:id="263"/>
      <w:bookmarkEnd w:id="264"/>
      <w:bookmarkEnd w:id="265"/>
      <w:bookmarkEnd w:id="266"/>
      <w:bookmarkEnd w:id="267"/>
      <w:bookmarkEnd w:id="26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按月或者按次预扣预缴税款。扣缴义务人每月或者每次预扣、代扣的税款，在次月15日内，填报《个人所得税扣缴申报表》及其他相关资料，向税务机关纳税申报并缴入国库。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69" w:name="_Toc7543"/>
      <w:bookmarkStart w:id="270" w:name="_Toc5559"/>
      <w:bookmarkStart w:id="271" w:name="_Toc7434"/>
      <w:bookmarkStart w:id="272" w:name="_Toc127989059"/>
      <w:bookmarkStart w:id="273" w:name="_Toc10354"/>
      <w:bookmarkStart w:id="274" w:name="_Toc11096"/>
      <w:bookmarkStart w:id="275" w:name="_Toc26620"/>
      <w:bookmarkStart w:id="276" w:name="_Toc128733563"/>
      <w:bookmarkStart w:id="277" w:name="_Toc7567"/>
      <w:r>
        <w:rPr>
          <w:rFonts w:hint="eastAsia" w:ascii="方正仿宋_GBK" w:hAnsi="方正仿宋_GBK" w:eastAsia="方正仿宋_GBK" w:cs="黑体"/>
          <w:b/>
          <w:bCs/>
          <w:sz w:val="24"/>
          <w:szCs w:val="24"/>
        </w:rPr>
        <w:t>31.2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69"/>
      <w:bookmarkEnd w:id="270"/>
      <w:bookmarkEnd w:id="271"/>
      <w:bookmarkEnd w:id="272"/>
      <w:bookmarkEnd w:id="273"/>
      <w:bookmarkEnd w:id="274"/>
      <w:bookmarkEnd w:id="275"/>
      <w:bookmarkEnd w:id="276"/>
      <w:bookmarkEnd w:id="277"/>
    </w:p>
    <w:p>
      <w:pPr>
        <w:pStyle w:val="4"/>
        <w:ind w:firstLine="640" w:firstLineChars="200"/>
        <w:rPr>
          <w:rFonts w:ascii="方正仿宋_GBK" w:hAnsi="方正仿宋_GBK" w:eastAsia="方正仿宋_GBK"/>
        </w:rPr>
      </w:pPr>
      <w:bookmarkStart w:id="278" w:name="_Toc21572"/>
      <w:bookmarkStart w:id="279" w:name="_Toc21526"/>
      <w:bookmarkStart w:id="280" w:name="_Toc18215"/>
      <w:bookmarkStart w:id="281" w:name="_Toc11045"/>
      <w:bookmarkStart w:id="282" w:name="_Toc127989063"/>
      <w:bookmarkStart w:id="283" w:name="_Toc20850"/>
      <w:bookmarkStart w:id="284" w:name="_Toc22488"/>
      <w:bookmarkStart w:id="285" w:name="_Toc6685"/>
      <w:r>
        <w:rPr>
          <w:rFonts w:hint="eastAsia" w:ascii="方正仿宋_GBK" w:hAnsi="方正仿宋_GBK" w:eastAsia="方正仿宋_GBK"/>
        </w:rPr>
        <w:t>32.纳税信用修复</w:t>
      </w:r>
      <w:bookmarkEnd w:id="278"/>
      <w:bookmarkEnd w:id="279"/>
      <w:bookmarkEnd w:id="280"/>
      <w:bookmarkEnd w:id="281"/>
      <w:bookmarkEnd w:id="282"/>
      <w:bookmarkEnd w:id="283"/>
      <w:bookmarkEnd w:id="284"/>
      <w:bookmarkEnd w:id="28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86" w:name="_Toc127989085"/>
      <w:bookmarkStart w:id="287" w:name="_Toc672"/>
      <w:bookmarkStart w:id="288" w:name="_Toc20539"/>
      <w:bookmarkStart w:id="289" w:name="_Toc7300"/>
      <w:bookmarkStart w:id="290" w:name="_Toc128733564"/>
      <w:bookmarkStart w:id="291" w:name="_Toc23439"/>
      <w:bookmarkStart w:id="292" w:name="_Toc21268"/>
      <w:bookmarkStart w:id="293" w:name="_Toc11119"/>
      <w:bookmarkStart w:id="294" w:name="_Toc25873"/>
      <w:r>
        <w:rPr>
          <w:rFonts w:hint="eastAsia" w:ascii="方正仿宋_GBK" w:hAnsi="方正仿宋_GBK" w:eastAsia="方正仿宋_GBK" w:cs="黑体"/>
          <w:b/>
          <w:bCs/>
          <w:sz w:val="24"/>
          <w:szCs w:val="24"/>
        </w:rPr>
        <w:t>32.2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32.3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 </w:t>
      </w:r>
      <w:r>
        <w:rPr>
          <w:rFonts w:ascii="方正仿宋_GBK" w:hAnsi="方正仿宋_GBK" w:eastAsia="方正仿宋_GBK"/>
        </w:rPr>
        <w:t xml:space="preserve"> </w:t>
      </w:r>
      <w:r>
        <w:rPr>
          <w:rFonts w:hint="eastAsia" w:ascii="方正仿宋_GBK" w:hAnsi="方正仿宋_GBK" w:eastAsia="方正仿宋_GBK"/>
        </w:rPr>
        <w:t>税务注销</w:t>
      </w:r>
      <w:bookmarkEnd w:id="286"/>
      <w:bookmarkEnd w:id="287"/>
      <w:bookmarkEnd w:id="288"/>
      <w:bookmarkEnd w:id="289"/>
      <w:bookmarkEnd w:id="290"/>
      <w:bookmarkEnd w:id="291"/>
      <w:bookmarkEnd w:id="292"/>
      <w:bookmarkEnd w:id="293"/>
      <w:bookmarkEnd w:id="294"/>
    </w:p>
    <w:p>
      <w:pPr>
        <w:pStyle w:val="4"/>
        <w:ind w:firstLine="640" w:firstLineChars="200"/>
        <w:rPr>
          <w:rFonts w:ascii="方正仿宋_GBK" w:hAnsi="方正仿宋_GBK" w:eastAsia="方正仿宋_GBK"/>
        </w:rPr>
      </w:pPr>
      <w:bookmarkStart w:id="295" w:name="_Toc127989091"/>
      <w:bookmarkStart w:id="296" w:name="_Toc12267"/>
      <w:bookmarkStart w:id="297" w:name="_Toc22528"/>
      <w:bookmarkStart w:id="298" w:name="_Toc10479"/>
      <w:bookmarkStart w:id="299" w:name="_Toc10996"/>
      <w:bookmarkStart w:id="300" w:name="_Toc30778"/>
      <w:bookmarkStart w:id="301" w:name="_Toc19524"/>
      <w:bookmarkStart w:id="302" w:name="_Toc18771"/>
      <w:r>
        <w:rPr>
          <w:rFonts w:hint="eastAsia" w:ascii="方正仿宋_GBK" w:hAnsi="方正仿宋_GBK" w:eastAsia="方正仿宋_GBK"/>
        </w:rPr>
        <w:t>33.税务注销即时办理</w:t>
      </w:r>
      <w:bookmarkEnd w:id="295"/>
      <w:bookmarkEnd w:id="296"/>
      <w:bookmarkEnd w:id="297"/>
      <w:bookmarkEnd w:id="298"/>
      <w:bookmarkEnd w:id="299"/>
      <w:bookmarkEnd w:id="300"/>
      <w:bookmarkEnd w:id="301"/>
      <w:bookmarkEnd w:id="302"/>
    </w:p>
    <w:p>
      <w:pPr>
        <w:spacing w:line="360" w:lineRule="auto"/>
        <w:ind w:firstLine="480"/>
        <w:rPr>
          <w:rFonts w:ascii="方正仿宋_GBK" w:hAnsi="方正仿宋_GBK" w:eastAsia="方正仿宋_GBK" w:cs="宋体"/>
          <w:sz w:val="24"/>
        </w:rPr>
      </w:pPr>
      <w:r>
        <w:rPr>
          <w:rFonts w:ascii="方正仿宋_GBK" w:hAnsi="方正仿宋_GBK" w:eastAsia="方正仿宋_GBK"/>
        </w:rPr>
        <w:t xml:space="preserve"> </w:t>
      </w: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振兴区税务局各分局（所）办税服务厅综合窗口</w:t>
      </w:r>
      <w:r>
        <w:rPr>
          <w:rFonts w:hint="eastAsia" w:ascii="方正仿宋_GBK" w:hAnsi="方正仿宋_GBK" w:eastAsia="方正仿宋_GBK" w:cs="宋体"/>
          <w:sz w:val="24"/>
        </w:rPr>
        <w:t>（注销专窗）</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303" w:name="_Toc30775"/>
      <w:bookmarkStart w:id="304" w:name="_Toc31202"/>
      <w:bookmarkStart w:id="305" w:name="_Toc128733565"/>
      <w:bookmarkStart w:id="306" w:name="_Toc20386"/>
      <w:bookmarkStart w:id="307" w:name="_Toc20496"/>
      <w:bookmarkStart w:id="308" w:name="_Toc1799"/>
      <w:bookmarkStart w:id="309" w:name="_Toc18207"/>
      <w:bookmarkStart w:id="310" w:name="_Toc4631"/>
      <w:r>
        <w:rPr>
          <w:rFonts w:hint="eastAsia" w:ascii="方正仿宋_GBK" w:hAnsi="方正仿宋_GBK" w:eastAsia="方正仿宋_GBK" w:cs="黑体"/>
          <w:b/>
          <w:bCs/>
          <w:sz w:val="24"/>
          <w:szCs w:val="24"/>
        </w:rPr>
        <w:t>33.3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303"/>
      <w:bookmarkEnd w:id="304"/>
      <w:bookmarkEnd w:id="305"/>
      <w:bookmarkEnd w:id="306"/>
      <w:bookmarkEnd w:id="307"/>
      <w:bookmarkEnd w:id="308"/>
      <w:bookmarkEnd w:id="309"/>
      <w:bookmarkEnd w:id="310"/>
    </w:p>
    <w:p>
      <w:pPr>
        <w:pStyle w:val="4"/>
        <w:ind w:firstLine="640" w:firstLineChars="200"/>
        <w:rPr>
          <w:rFonts w:ascii="方正仿宋_GBK" w:hAnsi="方正仿宋_GBK" w:eastAsia="方正仿宋_GBK"/>
        </w:rPr>
      </w:pPr>
      <w:bookmarkStart w:id="311" w:name="_Toc127989131"/>
      <w:bookmarkStart w:id="312" w:name="_Toc3318"/>
      <w:bookmarkStart w:id="313" w:name="_Toc27153"/>
      <w:bookmarkStart w:id="314" w:name="_Toc5993"/>
      <w:bookmarkStart w:id="315" w:name="_Toc14247"/>
      <w:bookmarkStart w:id="316" w:name="_Toc1153"/>
      <w:bookmarkStart w:id="317" w:name="_Toc11866"/>
      <w:bookmarkStart w:id="318" w:name="_Toc6797"/>
      <w:r>
        <w:rPr>
          <w:rFonts w:hint="eastAsia" w:ascii="方正仿宋_GBK" w:hAnsi="方正仿宋_GBK" w:eastAsia="方正仿宋_GBK"/>
        </w:rPr>
        <w:t>34.纳税人涉税信息查询</w:t>
      </w:r>
      <w:bookmarkEnd w:id="311"/>
      <w:r>
        <w:rPr>
          <w:rFonts w:hint="eastAsia" w:ascii="方正仿宋_GBK" w:hAnsi="方正仿宋_GBK" w:eastAsia="方正仿宋_GBK"/>
        </w:rPr>
        <w:t>（书面申请）</w:t>
      </w:r>
      <w:bookmarkEnd w:id="312"/>
      <w:bookmarkEnd w:id="313"/>
      <w:bookmarkEnd w:id="314"/>
      <w:bookmarkEnd w:id="315"/>
      <w:bookmarkEnd w:id="316"/>
      <w:bookmarkEnd w:id="317"/>
      <w:bookmarkEnd w:id="31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34.1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34.2  办理路径</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窗口办：</w:t>
      </w:r>
      <w:r>
        <w:rPr>
          <w:rFonts w:hint="eastAsia" w:ascii="方正仿宋_GBK" w:hAnsi="方正仿宋_GBK" w:eastAsia="方正仿宋_GBK" w:cs="宋体"/>
          <w:sz w:val="24"/>
          <w:szCs w:val="24"/>
        </w:rPr>
        <w:t>振兴区税务局各分局（所）办税服务厅综合窗口</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34.3  办理时限：</w:t>
      </w:r>
      <w:r>
        <w:rPr>
          <w:rFonts w:hint="eastAsia" w:ascii="方正仿宋_GBK" w:hAnsi="方正仿宋_GBK" w:eastAsia="方正仿宋_GBK" w:cs="宋体"/>
          <w:sz w:val="24"/>
          <w:szCs w:val="24"/>
        </w:rPr>
        <w:t>20个工作日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35.第三方涉税保密信息查询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35.1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35.2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35.3  办理时限：</w:t>
      </w:r>
      <w:r>
        <w:rPr>
          <w:rFonts w:hint="eastAsia" w:ascii="方正仿宋_GBK" w:hAnsi="方正仿宋_GBK" w:eastAsia="方正仿宋_GBK" w:cs="宋体"/>
          <w:sz w:val="24"/>
        </w:rPr>
        <w:t>20个工作日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35.4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19" w:name="_Toc128733566"/>
      <w:bookmarkStart w:id="320" w:name="_Hlk128903034"/>
      <w:bookmarkStart w:id="321" w:name="_Hlk128945976"/>
      <w:r>
        <w:rPr>
          <w:rFonts w:hint="eastAsia" w:ascii="方正仿宋_GBK" w:hAnsi="方正仿宋_GBK" w:eastAsia="方正仿宋_GBK"/>
        </w:rPr>
        <w:t>违规禁办事项清单</w:t>
      </w:r>
      <w:bookmarkEnd w:id="319"/>
    </w:p>
    <w:bookmarkEnd w:id="320"/>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1.纳税人首次领购发票核定增值税专用发票最高开票限额超过10万元，每月最高领用数量超过25份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321"/>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2" w:name="_Toc128733568"/>
      <w:r>
        <w:rPr>
          <w:rFonts w:hint="eastAsia" w:ascii="方正仿宋_GBK" w:hAnsi="方正仿宋_GBK" w:eastAsia="方正仿宋_GBK"/>
        </w:rPr>
        <w:t>容缺办理事项清单</w:t>
      </w:r>
      <w:bookmarkEnd w:id="322"/>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323" w:name="_Toc128733567"/>
      <w:r>
        <w:rPr>
          <w:rFonts w:hint="eastAsia" w:ascii="方正仿宋_GBK" w:hAnsi="方正仿宋_GBK" w:eastAsia="方正仿宋_GBK"/>
        </w:rPr>
        <w:t>“首违不罚”事项清单</w:t>
      </w:r>
      <w:bookmarkEnd w:id="323"/>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cs="宋体"/>
          <w:bCs/>
          <w:color w:val="000000"/>
          <w:kern w:val="0"/>
          <w:szCs w:val="21"/>
        </w:rPr>
      </w:pPr>
      <w:r>
        <w:rPr>
          <w:rFonts w:ascii="方正仿宋_GBK" w:hAnsi="方正仿宋_GBK" w:eastAsia="方正仿宋_GBK"/>
        </w:rPr>
        <w:tab/>
      </w:r>
    </w:p>
    <w:p>
      <w:pPr>
        <w:rPr>
          <w:rFonts w:ascii="方正仿宋_GBK" w:hAnsi="方正仿宋_GBK" w:eastAsia="方正仿宋_GBK"/>
        </w:rPr>
      </w:pPr>
    </w:p>
    <w:p>
      <w:pPr>
        <w:rPr>
          <w:rFonts w:ascii="方正仿宋_GBK" w:hAnsi="方正仿宋_GBK" w:eastAsia="方正仿宋_GBK"/>
        </w:rPr>
      </w:pPr>
    </w:p>
    <w:sectPr>
      <w:footerReference r:id="rId4" w:type="default"/>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2FF" w:usb1="400004FF" w:usb2="0000000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56</w:t>
        </w:r>
        <w:r>
          <w:rPr>
            <w:lang w:val="zh-CN"/>
          </w:rP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D9"/>
    <w:rsid w:val="00010793"/>
    <w:rsid w:val="00031DCA"/>
    <w:rsid w:val="00035F78"/>
    <w:rsid w:val="000442D0"/>
    <w:rsid w:val="00064355"/>
    <w:rsid w:val="00065464"/>
    <w:rsid w:val="00074089"/>
    <w:rsid w:val="00082318"/>
    <w:rsid w:val="00092512"/>
    <w:rsid w:val="000B55F0"/>
    <w:rsid w:val="000D0FC7"/>
    <w:rsid w:val="000F0DF5"/>
    <w:rsid w:val="000F5B9B"/>
    <w:rsid w:val="000F74E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114FD"/>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45408"/>
    <w:rsid w:val="004528D2"/>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77290"/>
    <w:rsid w:val="007815F0"/>
    <w:rsid w:val="00790D0E"/>
    <w:rsid w:val="007B76A3"/>
    <w:rsid w:val="007C116A"/>
    <w:rsid w:val="007C4AE6"/>
    <w:rsid w:val="007E5D95"/>
    <w:rsid w:val="007F288F"/>
    <w:rsid w:val="00816742"/>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54C09"/>
    <w:rsid w:val="00C72623"/>
    <w:rsid w:val="00C92A43"/>
    <w:rsid w:val="00CA7ADE"/>
    <w:rsid w:val="00CD251F"/>
    <w:rsid w:val="00CE079D"/>
    <w:rsid w:val="00CF0AC3"/>
    <w:rsid w:val="00D550A1"/>
    <w:rsid w:val="00D565D9"/>
    <w:rsid w:val="00D5711B"/>
    <w:rsid w:val="00D603EF"/>
    <w:rsid w:val="00D86801"/>
    <w:rsid w:val="00DA2A99"/>
    <w:rsid w:val="00DB7EF8"/>
    <w:rsid w:val="00DD73F7"/>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B71C8"/>
    <w:rsid w:val="00FC1A03"/>
    <w:rsid w:val="00FC1D79"/>
    <w:rsid w:val="00FD41F1"/>
    <w:rsid w:val="00FD4EC9"/>
    <w:rsid w:val="00FD79C1"/>
    <w:rsid w:val="00FE0A61"/>
    <w:rsid w:val="00FF25AD"/>
    <w:rsid w:val="024A7C0C"/>
    <w:rsid w:val="08CE7F20"/>
    <w:rsid w:val="0D7F43B1"/>
    <w:rsid w:val="10C0073C"/>
    <w:rsid w:val="137E0F12"/>
    <w:rsid w:val="277C022D"/>
    <w:rsid w:val="39FC1D6A"/>
    <w:rsid w:val="42F14D08"/>
    <w:rsid w:val="449C3228"/>
    <w:rsid w:val="536D4F1D"/>
    <w:rsid w:val="53910704"/>
    <w:rsid w:val="54B70A92"/>
    <w:rsid w:val="633F78C0"/>
    <w:rsid w:val="745F49AD"/>
    <w:rsid w:val="772424F0"/>
    <w:rsid w:val="775E71FE"/>
    <w:rsid w:val="7A697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uiPriority w:val="0"/>
    <w:rPr>
      <w:rFonts w:ascii="宋体" w:hAnsi="宋体" w:eastAsia="宋体" w:cs="Times New Roman"/>
      <w:kern w:val="0"/>
      <w:sz w:val="24"/>
      <w:szCs w:val="24"/>
    </w:rPr>
  </w:style>
  <w:style w:type="character" w:customStyle="1" w:styleId="43">
    <w:name w:val="批注框文本 Char"/>
    <w:basedOn w:val="15"/>
    <w:link w:val="7"/>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7" Type="http://schemas.openxmlformats.org/officeDocument/2006/relationships/fontTable" Target="fontTable.xml"/><Relationship Id="rId46" Type="http://schemas.openxmlformats.org/officeDocument/2006/relationships/customXml" Target="../customXml/item2.xml"/><Relationship Id="rId45" Type="http://schemas.openxmlformats.org/officeDocument/2006/relationships/customXml" Target="../customXml/item1.xm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jpe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DD3020-F2A9-43AC-ADAF-E6C5E44069BF}">
  <ds:schemaRefs/>
</ds:datastoreItem>
</file>

<file path=docProps/app.xml><?xml version="1.0" encoding="utf-8"?>
<Properties xmlns="http://schemas.openxmlformats.org/officeDocument/2006/extended-properties" xmlns:vt="http://schemas.openxmlformats.org/officeDocument/2006/docPropsVTypes">
  <Template>Normal</Template>
  <Pages>60</Pages>
  <Words>3732</Words>
  <Characters>21278</Characters>
  <Lines>177</Lines>
  <Paragraphs>49</Paragraphs>
  <TotalTime>1</TotalTime>
  <ScaleCrop>false</ScaleCrop>
  <LinksUpToDate>false</LinksUpToDate>
  <CharactersWithSpaces>24961</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孙远阁</cp:lastModifiedBy>
  <cp:lastPrinted>2015-12-31T22:00:00Z</cp:lastPrinted>
  <dcterms:modified xsi:type="dcterms:W3CDTF">2023-03-22T06:21:51Z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