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spacing w:line="560" w:lineRule="exact"/>
        <w:rPr>
          <w:rFonts w:hint="eastAsia" w:ascii="黑体" w:hAnsi="黑体" w:eastAsia="黑体" w:cs="黑体"/>
          <w:color w:val="auto"/>
          <w:sz w:val="32"/>
          <w:szCs w:val="32"/>
          <w:highlight w:val="none"/>
          <w:lang w:eastAsia="zh-CN"/>
        </w:rPr>
      </w:pPr>
      <w:r>
        <w:rPr>
          <w:rFonts w:hint="eastAsia" w:ascii="黑体" w:hAnsi="黑体" w:eastAsia="黑体" w:cs="黑体"/>
          <w:color w:val="auto"/>
          <w:sz w:val="32"/>
          <w:szCs w:val="32"/>
          <w:highlight w:val="none"/>
        </w:rPr>
        <w:t>附</w:t>
      </w:r>
      <w:r>
        <w:rPr>
          <w:rFonts w:hint="eastAsia" w:ascii="黑体" w:hAnsi="黑体" w:eastAsia="黑体" w:cs="黑体"/>
          <w:color w:val="auto"/>
          <w:sz w:val="32"/>
          <w:szCs w:val="32"/>
          <w:highlight w:val="none"/>
          <w:lang w:eastAsia="zh-CN"/>
        </w:rPr>
        <w:t>件</w:t>
      </w:r>
      <w:r>
        <w:rPr>
          <w:rFonts w:hint="eastAsia" w:ascii="黑体" w:hAnsi="黑体" w:eastAsia="黑体" w:cs="黑体"/>
          <w:color w:val="auto"/>
          <w:sz w:val="32"/>
          <w:szCs w:val="32"/>
          <w:highlight w:val="none"/>
          <w:lang w:val="en-US" w:eastAsia="zh-CN"/>
        </w:rPr>
        <w:t>2</w:t>
      </w:r>
    </w:p>
    <w:p>
      <w:pPr>
        <w:pStyle w:val="2"/>
        <w:bidi w:val="0"/>
        <w:spacing w:line="560" w:lineRule="exact"/>
        <w:jc w:val="center"/>
        <w:rPr>
          <w:rFonts w:hint="eastAsia"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t>税务事项通知书</w:t>
      </w:r>
    </w:p>
    <w:p>
      <w:pPr>
        <w:pStyle w:val="2"/>
        <w:bidi w:val="0"/>
        <w:spacing w:line="560" w:lineRule="exact"/>
        <w:jc w:val="center"/>
        <w:rPr>
          <w:rFonts w:hint="eastAsia" w:ascii="宋体" w:hAnsi="宋体" w:eastAsia="宋体" w:cs="宋体"/>
          <w:color w:val="auto"/>
          <w:kern w:val="2"/>
          <w:sz w:val="24"/>
          <w:szCs w:val="24"/>
          <w:highlight w:val="none"/>
          <w:lang w:val="en-US" w:eastAsia="zh-CN" w:bidi="ar-SA"/>
        </w:rPr>
      </w:pPr>
      <w:r>
        <w:rPr>
          <w:rFonts w:hint="default" w:ascii="宋体" w:hAnsi="宋体" w:eastAsia="宋体" w:cs="宋体"/>
          <w:color w:val="auto"/>
          <w:kern w:val="2"/>
          <w:sz w:val="24"/>
          <w:szCs w:val="24"/>
          <w:highlight w:val="none"/>
          <w:lang w:val="en-US" w:eastAsia="zh-CN" w:bidi="ar-SA"/>
        </w:rPr>
        <w:t>（适用于通知存量房交易计税价格争议处理决定）</w:t>
      </w:r>
    </w:p>
    <w:p>
      <w:pPr>
        <w:pStyle w:val="2"/>
        <w:bidi w:val="0"/>
        <w:spacing w:line="56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    ）税通〔   〕   号</w:t>
      </w:r>
    </w:p>
    <w:p>
      <w:pPr>
        <w:pStyle w:val="2"/>
        <w:bidi w:val="0"/>
        <w:spacing w:line="560" w:lineRule="exact"/>
        <w:rPr>
          <w:rFonts w:hint="eastAsia" w:ascii="宋体" w:hAnsi="宋体" w:eastAsia="宋体" w:cs="宋体"/>
          <w:color w:val="auto"/>
          <w:kern w:val="2"/>
          <w:sz w:val="24"/>
          <w:szCs w:val="24"/>
          <w:highlight w:val="none"/>
          <w:lang w:val="en-US" w:eastAsia="zh-CN" w:bidi="ar-SA"/>
        </w:rPr>
      </w:pPr>
    </w:p>
    <w:p>
      <w:pPr>
        <w:pStyle w:val="2"/>
        <w:bidi w:val="0"/>
        <w:spacing w:line="560" w:lineRule="exact"/>
        <w:rPr>
          <w:rFonts w:hint="eastAsia" w:ascii="宋体" w:hAnsi="宋体" w:eastAsia="宋体" w:cs="宋体"/>
          <w:color w:val="auto"/>
          <w:kern w:val="2"/>
          <w:sz w:val="24"/>
          <w:szCs w:val="24"/>
          <w:highlight w:val="none"/>
          <w:lang w:val="en-US" w:eastAsia="zh-CN" w:bidi="ar-SA"/>
        </w:rPr>
      </w:pPr>
    </w:p>
    <w:p>
      <w:pPr>
        <w:pStyle w:val="2"/>
        <w:bidi w:val="0"/>
        <w:spacing w:line="560" w:lineRule="exac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 xml:space="preserve">                  ：（纳税人识别号：               ）</w:t>
      </w:r>
    </w:p>
    <w:p>
      <w:pPr>
        <w:pStyle w:val="2"/>
        <w:bidi w:val="0"/>
        <w:spacing w:line="560" w:lineRule="exac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事由：存量房交易计税价格争议处理决定通知</w:t>
      </w:r>
    </w:p>
    <w:p>
      <w:pPr>
        <w:pStyle w:val="2"/>
        <w:bidi w:val="0"/>
        <w:spacing w:line="560" w:lineRule="exact"/>
        <w:rPr>
          <w:rFonts w:hint="eastAsia" w:ascii="宋体" w:hAnsi="宋体" w:eastAsia="宋体" w:cs="宋体"/>
          <w:color w:val="auto"/>
          <w:kern w:val="2"/>
          <w:sz w:val="24"/>
          <w:szCs w:val="24"/>
          <w:highlight w:val="none"/>
          <w:lang w:val="en-US" w:eastAsia="zh-CN" w:bidi="ar-SA"/>
        </w:rPr>
      </w:pPr>
    </w:p>
    <w:p>
      <w:pPr>
        <w:pStyle w:val="2"/>
        <w:bidi w:val="0"/>
        <w:spacing w:line="560" w:lineRule="exac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依据:《国家税务总局辽阳市税务局关于发布〈辽阳市存量房交易计税价格争议处理办法（试行）〉的公告》（202</w:t>
      </w:r>
      <w:r>
        <w:rPr>
          <w:rFonts w:hint="eastAsia" w:hAnsi="宋体" w:cs="宋体"/>
          <w:color w:val="auto"/>
          <w:kern w:val="2"/>
          <w:sz w:val="24"/>
          <w:szCs w:val="24"/>
          <w:highlight w:val="none"/>
          <w:lang w:val="en-US" w:eastAsia="zh-CN" w:bidi="ar-SA"/>
        </w:rPr>
        <w:t>5</w:t>
      </w:r>
      <w:r>
        <w:rPr>
          <w:rFonts w:hint="eastAsia" w:ascii="宋体" w:hAnsi="宋体" w:eastAsia="宋体" w:cs="宋体"/>
          <w:color w:val="auto"/>
          <w:kern w:val="2"/>
          <w:sz w:val="24"/>
          <w:szCs w:val="24"/>
          <w:highlight w:val="none"/>
          <w:lang w:val="en-US" w:eastAsia="zh-CN" w:bidi="ar-SA"/>
        </w:rPr>
        <w:t>年第</w:t>
      </w:r>
      <w:r>
        <w:rPr>
          <w:rFonts w:hint="eastAsia" w:hAnsi="宋体" w:cs="宋体"/>
          <w:color w:val="auto"/>
          <w:kern w:val="2"/>
          <w:sz w:val="24"/>
          <w:szCs w:val="24"/>
          <w:highlight w:val="none"/>
          <w:lang w:val="en-US" w:eastAsia="zh-CN" w:bidi="ar-SA"/>
        </w:rPr>
        <w:t>1</w:t>
      </w:r>
      <w:r>
        <w:rPr>
          <w:rFonts w:hint="eastAsia" w:ascii="宋体" w:hAnsi="宋体" w:eastAsia="宋体" w:cs="宋体"/>
          <w:color w:val="auto"/>
          <w:kern w:val="2"/>
          <w:sz w:val="24"/>
          <w:szCs w:val="24"/>
          <w:highlight w:val="none"/>
          <w:lang w:val="en-US" w:eastAsia="zh-CN" w:bidi="ar-SA"/>
        </w:rPr>
        <w:t>号）第十二条规定</w:t>
      </w:r>
    </w:p>
    <w:p>
      <w:pPr>
        <w:pStyle w:val="2"/>
        <w:bidi w:val="0"/>
        <w:spacing w:line="560" w:lineRule="exact"/>
        <w:rPr>
          <w:rFonts w:hint="eastAsia" w:ascii="宋体" w:hAnsi="宋体" w:eastAsia="宋体" w:cs="宋体"/>
          <w:color w:val="auto"/>
          <w:kern w:val="2"/>
          <w:sz w:val="24"/>
          <w:szCs w:val="24"/>
          <w:highlight w:val="none"/>
          <w:lang w:val="en-US" w:eastAsia="zh-CN" w:bidi="ar-SA"/>
        </w:rPr>
      </w:pPr>
    </w:p>
    <w:p>
      <w:pPr>
        <w:pStyle w:val="2"/>
        <w:bidi w:val="0"/>
        <w:spacing w:line="560" w:lineRule="exac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通知内容：根据《中华人民共和国税收征收管理法》第三十五条规定，我局对你（单位）提请的争议事项及相关证据资料进行了审核，现将有关处理决定通知如下：</w:t>
      </w:r>
    </w:p>
    <w:p>
      <w:pPr>
        <w:pStyle w:val="2"/>
        <w:bidi w:val="0"/>
        <w:spacing w:line="560" w:lineRule="exact"/>
        <w:ind w:firstLine="0" w:firstLineChars="0"/>
        <w:rPr>
          <w:rFonts w:hint="eastAsia" w:ascii="宋体" w:hAnsi="宋体" w:eastAsia="宋体" w:cs="宋体"/>
          <w:color w:val="auto"/>
          <w:kern w:val="2"/>
          <w:sz w:val="24"/>
          <w:szCs w:val="24"/>
          <w:highlight w:val="none"/>
          <w:lang w:val="en-US" w:eastAsia="zh-CN" w:bidi="ar-SA"/>
        </w:rPr>
      </w:pPr>
    </w:p>
    <w:p>
      <w:pPr>
        <w:pStyle w:val="2"/>
        <w:bidi w:val="0"/>
        <w:spacing w:line="560" w:lineRule="exact"/>
        <w:ind w:firstLine="446" w:firstLineChars="200"/>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若你（单位）对税务机关作出的争议处理决定仍有异议，应先依照争议处理决定确定的交易计税价格申报缴纳税款及滞纳金或者提供相应的担保，然后可自上述款项缴清或者提供相应担保被税务机关确认之日起六十日内依法向上一级税务机关申请行政复议。对行政复议决定不服的，可以依法提起行政诉讼。</w:t>
      </w:r>
    </w:p>
    <w:p>
      <w:pPr>
        <w:pStyle w:val="2"/>
        <w:bidi w:val="0"/>
        <w:spacing w:line="560" w:lineRule="exac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 xml:space="preserve">                    </w:t>
      </w:r>
    </w:p>
    <w:p>
      <w:pPr>
        <w:pStyle w:val="2"/>
        <w:bidi w:val="0"/>
        <w:spacing w:line="560" w:lineRule="exac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 xml:space="preserve">                                                        税务机关（签章）</w:t>
      </w:r>
    </w:p>
    <w:p>
      <w:pPr>
        <w:pStyle w:val="2"/>
        <w:bidi w:val="0"/>
        <w:spacing w:line="560" w:lineRule="exac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 xml:space="preserve">                                                          年   月   日</w:t>
      </w:r>
    </w:p>
    <w:p>
      <w:pPr>
        <w:pStyle w:val="2"/>
        <w:bidi w:val="0"/>
        <w:spacing w:line="560" w:lineRule="exact"/>
        <w:rPr>
          <w:rFonts w:hint="eastAsia" w:ascii="宋体" w:hAnsi="宋体" w:eastAsia="宋体" w:cs="宋体"/>
          <w:color w:val="auto"/>
          <w:sz w:val="24"/>
          <w:szCs w:val="24"/>
          <w:highlight w:val="none"/>
        </w:rPr>
      </w:pPr>
    </w:p>
    <w:p>
      <w:bookmarkStart w:id="0" w:name="_GoBack"/>
      <w:bookmarkEnd w:id="0"/>
    </w:p>
    <w:sectPr>
      <w:footerReference r:id="rId3" w:type="default"/>
      <w:footerReference r:id="rId4" w:type="even"/>
      <w:pgSz w:w="11906" w:h="16838"/>
      <w:pgMar w:top="2041" w:right="1531" w:bottom="2041" w:left="1531" w:header="851" w:footer="992" w:gutter="0"/>
      <w:cols w:space="720" w:num="1"/>
      <w:docGrid w:type="linesAndChars" w:linePitch="579" w:charSpace="-363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rPr>
        <w:rStyle w:val="6"/>
        <w:rFonts w:ascii="宋体" w:hAnsi="宋体"/>
        <w:sz w:val="28"/>
        <w:szCs w:val="28"/>
      </w:rPr>
    </w:pPr>
    <w:r>
      <w:rPr>
        <w:rStyle w:val="6"/>
        <w:rFonts w:hint="eastAsia" w:ascii="宋体" w:hAnsi="宋体"/>
        <w:sz w:val="28"/>
        <w:szCs w:val="28"/>
      </w:rPr>
      <w:t>－</w:t>
    </w:r>
    <w:r>
      <w:rPr>
        <w:rStyle w:val="6"/>
        <w:rFonts w:ascii="宋体" w:hAnsi="宋体"/>
        <w:sz w:val="28"/>
        <w:szCs w:val="28"/>
      </w:rPr>
      <w:fldChar w:fldCharType="begin"/>
    </w:r>
    <w:r>
      <w:rPr>
        <w:rStyle w:val="6"/>
        <w:rFonts w:ascii="宋体" w:hAnsi="宋体"/>
        <w:sz w:val="28"/>
        <w:szCs w:val="28"/>
      </w:rPr>
      <w:instrText xml:space="preserve">PAGE  </w:instrText>
    </w:r>
    <w:r>
      <w:rPr>
        <w:rStyle w:val="6"/>
        <w:rFonts w:ascii="宋体" w:hAnsi="宋体"/>
        <w:sz w:val="28"/>
        <w:szCs w:val="28"/>
      </w:rPr>
      <w:fldChar w:fldCharType="separate"/>
    </w:r>
    <w:r>
      <w:rPr>
        <w:rStyle w:val="6"/>
        <w:rFonts w:ascii="宋体" w:hAnsi="宋体"/>
        <w:sz w:val="28"/>
        <w:szCs w:val="28"/>
      </w:rPr>
      <w:t>13</w:t>
    </w:r>
    <w:r>
      <w:rPr>
        <w:rStyle w:val="6"/>
        <w:rFonts w:ascii="宋体" w:hAnsi="宋体"/>
        <w:sz w:val="28"/>
        <w:szCs w:val="28"/>
      </w:rPr>
      <w:fldChar w:fldCharType="end"/>
    </w:r>
    <w:r>
      <w:rPr>
        <w:rStyle w:val="6"/>
        <w:rFonts w:hint="eastAsia" w:ascii="宋体" w:hAnsi="宋体"/>
        <w:sz w:val="28"/>
        <w:szCs w:val="28"/>
      </w:rPr>
      <w:t>－</w:t>
    </w:r>
  </w:p>
  <w:p>
    <w:pPr>
      <w:pStyle w:val="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rPr>
        <w:rStyle w:val="6"/>
      </w:rPr>
    </w:pPr>
    <w:r>
      <w:rPr>
        <w:rStyle w:val="6"/>
      </w:rPr>
      <w:fldChar w:fldCharType="begin"/>
    </w:r>
    <w:r>
      <w:rPr>
        <w:rStyle w:val="6"/>
      </w:rPr>
      <w:instrText xml:space="preserve">PAGE  </w:instrText>
    </w:r>
    <w:r>
      <w:rPr>
        <w:rStyle w:val="6"/>
      </w:rPr>
      <w:fldChar w:fldCharType="end"/>
    </w:r>
  </w:p>
  <w:p>
    <w:pPr>
      <w:pStyle w:val="3"/>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851781"/>
    <w:rsid w:val="2B8517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kern w:val="0"/>
      <w:szCs w:val="21"/>
    </w:rPr>
  </w:style>
  <w:style w:type="paragraph" w:styleId="3">
    <w:name w:val="footer"/>
    <w:basedOn w:val="1"/>
    <w:qFormat/>
    <w:uiPriority w:val="0"/>
    <w:pPr>
      <w:tabs>
        <w:tab w:val="center" w:pos="4153"/>
        <w:tab w:val="right" w:pos="8306"/>
      </w:tabs>
      <w:snapToGrid w:val="0"/>
      <w:jc w:val="left"/>
    </w:pPr>
    <w:rPr>
      <w:sz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2024-12-31T01:27:00Z</dcterms:created>
  <dc:creator>Administrator</dc:creator>
  <cp:lastModifiedBy>Administrator</cp:lastModifiedBy>
  <dcterms:modified xsi:type="dcterms:W3CDTF">2024-12-31T01:27:40Z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ies>
</file>