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A5E62C" w14:textId="77777777" w:rsidR="006B7962" w:rsidRPr="006B7962" w:rsidRDefault="00C87B87" w:rsidP="006B7962">
      <w:pPr>
        <w:jc w:val="center"/>
        <w:rPr>
          <w:rStyle w:val="dhgao"/>
          <w:rFonts w:ascii="方正小标宋简体" w:eastAsia="方正小标宋简体" w:hAnsi="微软雅黑" w:hint="eastAsia"/>
          <w:color w:val="323534"/>
          <w:sz w:val="36"/>
          <w:szCs w:val="36"/>
          <w:shd w:val="clear" w:color="auto" w:fill="FFFFFF"/>
        </w:rPr>
      </w:pPr>
      <w:bookmarkStart w:id="0" w:name="_GoBack"/>
      <w:r w:rsidRPr="006B7962">
        <w:rPr>
          <w:rStyle w:val="dhgao"/>
          <w:rFonts w:ascii="方正小标宋简体" w:eastAsia="方正小标宋简体" w:hAnsi="微软雅黑" w:hint="eastAsia"/>
          <w:color w:val="323534"/>
          <w:sz w:val="36"/>
          <w:szCs w:val="36"/>
          <w:shd w:val="clear" w:color="auto" w:fill="FFFFFF"/>
        </w:rPr>
        <w:t>国家税务总局关于3项企业所得税事项取消审批后加强后续管理的公告</w:t>
      </w:r>
    </w:p>
    <w:p w14:paraId="0755E3C8" w14:textId="6EBD5655" w:rsidR="00D233F9" w:rsidRPr="006B7962" w:rsidRDefault="00C87B87" w:rsidP="006B7962">
      <w:pPr>
        <w:jc w:val="center"/>
        <w:rPr>
          <w:rStyle w:val="hao1"/>
          <w:rFonts w:ascii="方正小标宋简体" w:eastAsia="方正小标宋简体" w:hAnsi="微软雅黑" w:hint="eastAsia"/>
          <w:color w:val="323534"/>
          <w:sz w:val="36"/>
          <w:szCs w:val="36"/>
          <w:shd w:val="clear" w:color="auto" w:fill="FFFFFF"/>
        </w:rPr>
      </w:pPr>
      <w:r w:rsidRPr="006B7962">
        <w:rPr>
          <w:rStyle w:val="hao1"/>
          <w:rFonts w:ascii="方正小标宋简体" w:eastAsia="方正小标宋简体" w:hAnsi="微软雅黑" w:hint="eastAsia"/>
          <w:color w:val="323534"/>
          <w:sz w:val="36"/>
          <w:szCs w:val="36"/>
          <w:shd w:val="clear" w:color="auto" w:fill="FFFFFF"/>
        </w:rPr>
        <w:t>国家税务总局公告2015年第6号</w:t>
      </w:r>
    </w:p>
    <w:bookmarkEnd w:id="0"/>
    <w:p w14:paraId="7060B69F" w14:textId="77777777" w:rsidR="00C87B87" w:rsidRPr="006B7962" w:rsidRDefault="00C87B87" w:rsidP="00C87B87">
      <w:pPr>
        <w:pStyle w:val="a7"/>
        <w:shd w:val="clear" w:color="auto" w:fill="FFFFFF"/>
        <w:spacing w:before="0" w:beforeAutospacing="0" w:after="0" w:afterAutospacing="0" w:line="540" w:lineRule="atLeast"/>
        <w:rPr>
          <w:rFonts w:ascii="仿宋_GB2312" w:eastAsia="仿宋_GB2312" w:hAnsi="微软雅黑" w:hint="eastAsia"/>
          <w:color w:val="333333"/>
          <w:sz w:val="32"/>
          <w:szCs w:val="32"/>
        </w:rPr>
      </w:pPr>
      <w:r w:rsidRPr="006B7962">
        <w:rPr>
          <w:rFonts w:ascii="仿宋_GB2312" w:eastAsia="仿宋_GB2312" w:hAnsi="微软雅黑" w:hint="eastAsia"/>
          <w:color w:val="333333"/>
          <w:sz w:val="32"/>
          <w:szCs w:val="32"/>
        </w:rPr>
        <w:t xml:space="preserve">　根据《国务院关于取消和调整一批行政审批项目等事项的决定》（国发〔2014〕27号、国发〔2014〕50号）规定，取消“享受小型微利企业所得税优惠的核准”、“收入全额归属中央的企业下属二级及二级以下分支机构名单的备案审核”和“汇总纳税企业组织结构变更审核”等项目审批，现就有关企业所得税后续管理问题公告如下：</w:t>
      </w:r>
      <w:r w:rsidRPr="006B7962">
        <w:rPr>
          <w:rFonts w:ascii="仿宋_GB2312" w:eastAsia="仿宋_GB2312" w:hAnsi="微软雅黑" w:hint="eastAsia"/>
          <w:color w:val="333333"/>
          <w:sz w:val="32"/>
          <w:szCs w:val="32"/>
        </w:rPr>
        <w:br/>
        <w:t xml:space="preserve">　　一、进一步简化小型微利企业享受所得税优惠政策备</w:t>
      </w:r>
      <w:proofErr w:type="gramStart"/>
      <w:r w:rsidRPr="006B7962">
        <w:rPr>
          <w:rFonts w:ascii="仿宋_GB2312" w:eastAsia="仿宋_GB2312" w:hAnsi="微软雅黑" w:hint="eastAsia"/>
          <w:color w:val="333333"/>
          <w:sz w:val="32"/>
          <w:szCs w:val="32"/>
        </w:rPr>
        <w:t>案手续</w:t>
      </w:r>
      <w:proofErr w:type="gramEnd"/>
      <w:r w:rsidRPr="006B7962">
        <w:rPr>
          <w:rFonts w:ascii="仿宋_GB2312" w:eastAsia="仿宋_GB2312" w:hAnsi="微软雅黑" w:hint="eastAsia"/>
          <w:color w:val="333333"/>
          <w:sz w:val="32"/>
          <w:szCs w:val="32"/>
        </w:rPr>
        <w:br/>
        <w:t xml:space="preserve">　　实行查账征收的小型微利企业，在办理2014年及以后年度企业所得税汇算清缴时，通过填报《国家税务总局关于发布〈中华人民共和国企业所得税年度纳税申报表（A类，2014年版）的公告〉》（国家税务总局公告2014年第63号）之《基础信息表》（A000000表）中的“104从业人数”、“105资产总额（万元）”栏次，履行备案手续，不再另行备案。</w:t>
      </w:r>
      <w:r w:rsidRPr="006B7962">
        <w:rPr>
          <w:rFonts w:ascii="仿宋_GB2312" w:eastAsia="仿宋_GB2312" w:hAnsi="微软雅黑" w:hint="eastAsia"/>
          <w:color w:val="333333"/>
          <w:sz w:val="32"/>
          <w:szCs w:val="32"/>
        </w:rPr>
        <w:br/>
        <w:t xml:space="preserve">　　二、取消“收入全额归属中央的企业下属二级及二级以下分支机构名单的备案审核”的后续管理</w:t>
      </w:r>
      <w:r w:rsidRPr="006B7962">
        <w:rPr>
          <w:rFonts w:ascii="仿宋_GB2312" w:eastAsia="仿宋_GB2312" w:hAnsi="微软雅黑" w:hint="eastAsia"/>
          <w:color w:val="333333"/>
          <w:sz w:val="32"/>
          <w:szCs w:val="32"/>
        </w:rPr>
        <w:br/>
        <w:t xml:space="preserve">　　收入全额归属中央的企业（本条简称中央企业）所属二级及二级以下分支机构名单发生变化的，按照以下规定</w:t>
      </w:r>
      <w:r w:rsidRPr="006B7962">
        <w:rPr>
          <w:rFonts w:ascii="仿宋_GB2312" w:eastAsia="仿宋_GB2312" w:hAnsi="微软雅黑" w:hint="eastAsia"/>
          <w:color w:val="333333"/>
          <w:sz w:val="32"/>
          <w:szCs w:val="32"/>
        </w:rPr>
        <w:lastRenderedPageBreak/>
        <w:t>分别向其主管税务机关报送相关资料：</w:t>
      </w:r>
      <w:r w:rsidRPr="006B7962">
        <w:rPr>
          <w:rFonts w:ascii="仿宋_GB2312" w:eastAsia="仿宋_GB2312" w:hAnsi="微软雅黑" w:hint="eastAsia"/>
          <w:color w:val="333333"/>
          <w:sz w:val="32"/>
          <w:szCs w:val="32"/>
        </w:rPr>
        <w:br/>
        <w:t xml:space="preserve">　　（一）中央企业所属二级分支机构名单发生变化的，中央企业总机构应将调整后情况及分支机构变化情况报送主管税务机关。</w:t>
      </w:r>
      <w:r w:rsidRPr="006B7962">
        <w:rPr>
          <w:rFonts w:ascii="仿宋_GB2312" w:eastAsia="仿宋_GB2312" w:hAnsi="微软雅黑" w:hint="eastAsia"/>
          <w:color w:val="333333"/>
          <w:sz w:val="32"/>
          <w:szCs w:val="32"/>
        </w:rPr>
        <w:br/>
        <w:t xml:space="preserve">　　（二）中央企业新增二级及以下分支机构的，二级分支机构应将营业执照和总机构出具的其为二级或二级以下分支机构证明文件，在报送企业所得税预缴申报表时，附送其主管税务机关。</w:t>
      </w:r>
      <w:r w:rsidRPr="006B7962">
        <w:rPr>
          <w:rFonts w:ascii="仿宋_GB2312" w:eastAsia="仿宋_GB2312" w:hAnsi="微软雅黑" w:hint="eastAsia"/>
          <w:color w:val="333333"/>
          <w:sz w:val="32"/>
          <w:szCs w:val="32"/>
        </w:rPr>
        <w:br/>
        <w:t xml:space="preserve">　　新增的三级及以下分支机构，应将营业执照和总机构出具的其为三级或三级以下分支机构证明文件，报送其主管税务机关。</w:t>
      </w:r>
      <w:r w:rsidRPr="006B7962">
        <w:rPr>
          <w:rFonts w:ascii="仿宋_GB2312" w:eastAsia="仿宋_GB2312" w:hAnsi="微软雅黑" w:hint="eastAsia"/>
          <w:color w:val="333333"/>
          <w:sz w:val="32"/>
          <w:szCs w:val="32"/>
        </w:rPr>
        <w:br/>
        <w:t xml:space="preserve">　　（三）中央企业撤销（注销）二级及以下分支机构的，被撤销分支机构应当按照《中华人民共和国税收征收管理法》规定办理注销手续。二级分支机构应将撤销（注销）二级及以下分支机构情况报送其主管税务机关。</w:t>
      </w:r>
      <w:r w:rsidRPr="006B7962">
        <w:rPr>
          <w:rFonts w:ascii="仿宋_GB2312" w:eastAsia="仿宋_GB2312" w:hAnsi="微软雅黑" w:hint="eastAsia"/>
          <w:color w:val="333333"/>
          <w:sz w:val="32"/>
          <w:szCs w:val="32"/>
        </w:rPr>
        <w:br/>
        <w:t xml:space="preserve">　　主管税务机关应根据中央企业二级及以下分支机构变更备案情况，及时调整完善税收管理信息。</w:t>
      </w:r>
      <w:r w:rsidRPr="006B7962">
        <w:rPr>
          <w:rFonts w:ascii="仿宋_GB2312" w:eastAsia="仿宋_GB2312" w:hAnsi="微软雅黑" w:hint="eastAsia"/>
          <w:color w:val="333333"/>
          <w:sz w:val="32"/>
          <w:szCs w:val="32"/>
        </w:rPr>
        <w:br/>
        <w:t xml:space="preserve">　　三、取消“汇总纳税企业组织结构变更审核”的后续管理</w:t>
      </w:r>
      <w:r w:rsidRPr="006B7962">
        <w:rPr>
          <w:rFonts w:ascii="仿宋_GB2312" w:eastAsia="仿宋_GB2312" w:hAnsi="微软雅黑" w:hint="eastAsia"/>
          <w:color w:val="333333"/>
          <w:sz w:val="32"/>
          <w:szCs w:val="32"/>
        </w:rPr>
        <w:br/>
        <w:t xml:space="preserve">　　汇总纳税企业改变组织结构的，总机构和相关二级分支机构应于组织结构改变后30日内，将组织结构变更情况报告主管税务机关。总机构所在省税务局按照《国家税务</w:t>
      </w:r>
      <w:r w:rsidRPr="006B7962">
        <w:rPr>
          <w:rFonts w:ascii="仿宋_GB2312" w:eastAsia="仿宋_GB2312" w:hAnsi="微软雅黑" w:hint="eastAsia"/>
          <w:color w:val="333333"/>
          <w:sz w:val="32"/>
          <w:szCs w:val="32"/>
        </w:rPr>
        <w:lastRenderedPageBreak/>
        <w:t>总局关于印发〈跨地区经营汇总纳税企业所得税征收管理办法〉的公告》（国家税务总局公告2012年第57号）第二十九条规定，将汇总纳税企业组织结构变更情况上传至企业所得税汇总纳税信息管理系统。</w:t>
      </w:r>
      <w:r w:rsidRPr="006B7962">
        <w:rPr>
          <w:rFonts w:ascii="仿宋_GB2312" w:eastAsia="仿宋_GB2312" w:hAnsi="微软雅黑" w:hint="eastAsia"/>
          <w:color w:val="333333"/>
          <w:sz w:val="32"/>
          <w:szCs w:val="32"/>
        </w:rPr>
        <w:br/>
        <w:t xml:space="preserve">　　废止国家税务总局公告2012年第57号第二十四条第三款“汇总纳税企业以后年度改变组织结构的，该分支机构应按本办法第二十三条规定报送相关证据，分支机构所在地主管税务机关重新进行审核鉴定”的规定。</w:t>
      </w:r>
      <w:r w:rsidRPr="006B7962">
        <w:rPr>
          <w:rFonts w:ascii="仿宋_GB2312" w:eastAsia="仿宋_GB2312" w:hAnsi="微软雅黑" w:hint="eastAsia"/>
          <w:color w:val="333333"/>
          <w:sz w:val="32"/>
          <w:szCs w:val="32"/>
        </w:rPr>
        <w:br/>
        <w:t xml:space="preserve">　　四、除第一条外，本公告自2015年1月1日起施行。</w:t>
      </w:r>
      <w:r w:rsidRPr="006B7962">
        <w:rPr>
          <w:rFonts w:ascii="仿宋_GB2312" w:eastAsia="仿宋_GB2312" w:hAnsi="微软雅黑" w:hint="eastAsia"/>
          <w:color w:val="333333"/>
          <w:sz w:val="32"/>
          <w:szCs w:val="32"/>
        </w:rPr>
        <w:br/>
        <w:t xml:space="preserve">　　特此公告。</w:t>
      </w:r>
      <w:r w:rsidRPr="006B7962">
        <w:rPr>
          <w:rFonts w:ascii="仿宋_GB2312" w:eastAsia="仿宋_GB2312" w:hAnsi="微软雅黑" w:hint="eastAsia"/>
          <w:color w:val="333333"/>
          <w:sz w:val="32"/>
          <w:szCs w:val="32"/>
        </w:rPr>
        <w:br/>
        <w:t xml:space="preserve">　　</w:t>
      </w:r>
    </w:p>
    <w:p w14:paraId="494AD365" w14:textId="77777777" w:rsidR="00C87B87" w:rsidRPr="006B7962" w:rsidRDefault="00C87B87" w:rsidP="00C87B87">
      <w:pPr>
        <w:pStyle w:val="a7"/>
        <w:shd w:val="clear" w:color="auto" w:fill="FFFFFF"/>
        <w:spacing w:before="0" w:beforeAutospacing="0" w:after="0" w:afterAutospacing="0" w:line="540" w:lineRule="atLeast"/>
        <w:jc w:val="right"/>
        <w:rPr>
          <w:rFonts w:ascii="仿宋_GB2312" w:eastAsia="仿宋_GB2312" w:hAnsi="微软雅黑" w:hint="eastAsia"/>
          <w:color w:val="333333"/>
          <w:sz w:val="32"/>
          <w:szCs w:val="32"/>
        </w:rPr>
      </w:pPr>
      <w:r w:rsidRPr="006B7962">
        <w:rPr>
          <w:rFonts w:ascii="仿宋_GB2312" w:eastAsia="仿宋_GB2312" w:hAnsi="微软雅黑" w:hint="eastAsia"/>
          <w:color w:val="333333"/>
          <w:sz w:val="32"/>
          <w:szCs w:val="32"/>
        </w:rPr>
        <w:br/>
        <w:t>国家税务总局</w:t>
      </w:r>
      <w:r w:rsidRPr="006B7962">
        <w:rPr>
          <w:rFonts w:ascii="仿宋_GB2312" w:eastAsia="仿宋_GB2312" w:hAnsi="微软雅黑" w:hint="eastAsia"/>
          <w:color w:val="333333"/>
          <w:sz w:val="32"/>
          <w:szCs w:val="32"/>
        </w:rPr>
        <w:br/>
        <w:t>2015年2月2日</w:t>
      </w:r>
    </w:p>
    <w:p w14:paraId="4299765C" w14:textId="77777777" w:rsidR="00C87B87" w:rsidRPr="006B7962" w:rsidRDefault="00C87B87">
      <w:pPr>
        <w:rPr>
          <w:rFonts w:ascii="仿宋_GB2312" w:eastAsia="仿宋_GB2312" w:hint="eastAsia"/>
          <w:sz w:val="32"/>
          <w:szCs w:val="32"/>
        </w:rPr>
      </w:pPr>
    </w:p>
    <w:sectPr w:rsidR="00C87B87" w:rsidRPr="006B796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4E14C9" w14:textId="77777777" w:rsidR="00375C2F" w:rsidRDefault="00375C2F" w:rsidP="00C87B87">
      <w:r>
        <w:separator/>
      </w:r>
    </w:p>
  </w:endnote>
  <w:endnote w:type="continuationSeparator" w:id="0">
    <w:p w14:paraId="2FF6D4C3" w14:textId="77777777" w:rsidR="00375C2F" w:rsidRDefault="00375C2F" w:rsidP="00C87B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C54190" w14:textId="77777777" w:rsidR="00375C2F" w:rsidRDefault="00375C2F" w:rsidP="00C87B87">
      <w:r>
        <w:separator/>
      </w:r>
    </w:p>
  </w:footnote>
  <w:footnote w:type="continuationSeparator" w:id="0">
    <w:p w14:paraId="7BA0A18A" w14:textId="77777777" w:rsidR="00375C2F" w:rsidRDefault="00375C2F" w:rsidP="00C87B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57E6"/>
    <w:rsid w:val="001057E6"/>
    <w:rsid w:val="00372C79"/>
    <w:rsid w:val="00375C2F"/>
    <w:rsid w:val="006B7962"/>
    <w:rsid w:val="00C87B87"/>
    <w:rsid w:val="00F339C1"/>
    <w:rsid w:val="00F761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61429"/>
  <w15:chartTrackingRefBased/>
  <w15:docId w15:val="{61B221A6-C202-4CF2-8263-FF9E7A1B7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87B87"/>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87B87"/>
    <w:rPr>
      <w:sz w:val="18"/>
      <w:szCs w:val="18"/>
    </w:rPr>
  </w:style>
  <w:style w:type="paragraph" w:styleId="a5">
    <w:name w:val="footer"/>
    <w:basedOn w:val="a"/>
    <w:link w:val="a6"/>
    <w:uiPriority w:val="99"/>
    <w:unhideWhenUsed/>
    <w:rsid w:val="00C87B87"/>
    <w:pPr>
      <w:tabs>
        <w:tab w:val="center" w:pos="4153"/>
        <w:tab w:val="right" w:pos="8306"/>
      </w:tabs>
      <w:snapToGrid w:val="0"/>
      <w:jc w:val="left"/>
    </w:pPr>
    <w:rPr>
      <w:sz w:val="18"/>
      <w:szCs w:val="18"/>
    </w:rPr>
  </w:style>
  <w:style w:type="character" w:customStyle="1" w:styleId="a6">
    <w:name w:val="页脚 字符"/>
    <w:basedOn w:val="a0"/>
    <w:link w:val="a5"/>
    <w:uiPriority w:val="99"/>
    <w:rsid w:val="00C87B87"/>
    <w:rPr>
      <w:sz w:val="18"/>
      <w:szCs w:val="18"/>
    </w:rPr>
  </w:style>
  <w:style w:type="character" w:customStyle="1" w:styleId="dhgao">
    <w:name w:val="dhgao"/>
    <w:basedOn w:val="a0"/>
    <w:rsid w:val="00C87B87"/>
  </w:style>
  <w:style w:type="character" w:customStyle="1" w:styleId="hao1">
    <w:name w:val="hao1"/>
    <w:basedOn w:val="a0"/>
    <w:rsid w:val="00C87B87"/>
  </w:style>
  <w:style w:type="paragraph" w:styleId="a7">
    <w:name w:val="Normal (Web)"/>
    <w:basedOn w:val="a"/>
    <w:uiPriority w:val="99"/>
    <w:semiHidden/>
    <w:unhideWhenUsed/>
    <w:rsid w:val="00C87B87"/>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2795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181</Words>
  <Characters>1034</Characters>
  <Application>Microsoft Office Word</Application>
  <DocSecurity>0</DocSecurity>
  <Lines>8</Lines>
  <Paragraphs>2</Paragraphs>
  <ScaleCrop>false</ScaleCrop>
  <Company/>
  <LinksUpToDate>false</LinksUpToDate>
  <CharactersWithSpaces>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袁 磊</dc:creator>
  <cp:keywords/>
  <dc:description/>
  <cp:lastModifiedBy>袁 磊</cp:lastModifiedBy>
  <cp:revision>3</cp:revision>
  <dcterms:created xsi:type="dcterms:W3CDTF">2019-11-09T03:28:00Z</dcterms:created>
  <dcterms:modified xsi:type="dcterms:W3CDTF">2019-11-09T05:48:00Z</dcterms:modified>
</cp:coreProperties>
</file>