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仿宋_GBK" w:hAnsi="方正仿宋_GBK" w:eastAsia="方正仿宋_GBK"/>
        </w:rPr>
      </w:pPr>
      <w:bookmarkStart w:id="282" w:name="_GoBack"/>
      <w:bookmarkEnd w:id="282"/>
      <w:r>
        <w:rPr>
          <w:rFonts w:hint="eastAsia" w:ascii="方正仿宋_GBK" w:hAnsi="方正仿宋_GBK" w:eastAsia="方正仿宋_GBK"/>
        </w:rPr>
        <w:drawing>
          <wp:inline distT="0" distB="0" distL="114300" distR="114300">
            <wp:extent cx="7526655" cy="10681970"/>
            <wp:effectExtent l="0" t="0" r="17145" b="5080"/>
            <wp:docPr id="2" name="图片 2" descr="a839a8380d6c0c23d5db0d2537b9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839a8380d6c0c23d5db0d2537b9d48"/>
                    <pic:cNvPicPr>
                      <a:picLocks noChangeAspect="1"/>
                    </pic:cNvPicPr>
                  </pic:nvPicPr>
                  <pic:blipFill>
                    <a:blip r:embed="rId6" cstate="print"/>
                    <a:stretch>
                      <a:fillRect/>
                    </a:stretch>
                  </pic:blipFill>
                  <pic:spPr>
                    <a:xfrm>
                      <a:off x="0" y="0"/>
                      <a:ext cx="7526655" cy="10681970"/>
                    </a:xfrm>
                    <a:prstGeom prst="rect">
                      <a:avLst/>
                    </a:prstGeom>
                  </pic:spPr>
                </pic:pic>
              </a:graphicData>
            </a:graphic>
          </wp:inline>
        </w:drawing>
      </w:r>
    </w:p>
    <w:p>
      <w:pPr>
        <w:pStyle w:val="2"/>
        <w:tabs>
          <w:tab w:val="center" w:pos="4153"/>
        </w:tabs>
        <w:rPr>
          <w:rFonts w:ascii="方正仿宋_GBK" w:hAnsi="方正仿宋_GBK" w:eastAsia="方正仿宋_GBK"/>
        </w:rPr>
        <w:sectPr>
          <w:pgSz w:w="11906" w:h="16838"/>
          <w:pgMar w:top="0" w:right="0" w:bottom="0" w:left="0" w:header="851" w:footer="992" w:gutter="0"/>
          <w:cols w:space="425" w:num="1"/>
          <w:docGrid w:type="lines" w:linePitch="312" w:charSpace="0"/>
        </w:sectPr>
      </w:pPr>
    </w:p>
    <w:p>
      <w:pPr>
        <w:rPr>
          <w:rFonts w:ascii="方正仿宋_GBK" w:hAnsi="方正仿宋_GBK" w:eastAsia="方正仿宋_GBK"/>
        </w:rPr>
      </w:pP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pPr>
            <w:pStyle w:val="26"/>
            <w:jc w:val="center"/>
            <w:rPr>
              <w:rFonts w:ascii="黑体" w:hAnsi="黑体" w:eastAsia="黑体"/>
              <w:b/>
              <w:bCs/>
              <w:color w:val="auto"/>
              <w:sz w:val="72"/>
              <w:szCs w:val="72"/>
              <w:lang w:val="zh-CN"/>
            </w:rPr>
          </w:pPr>
          <w:bookmarkStart w:id="0" w:name="_Hlk128734824"/>
          <w:r>
            <w:rPr>
              <w:rFonts w:ascii="黑体" w:hAnsi="黑体" w:eastAsia="黑体"/>
              <w:b/>
              <w:bCs/>
              <w:color w:val="auto"/>
              <w:sz w:val="72"/>
              <w:szCs w:val="72"/>
              <w:lang w:val="zh-CN"/>
            </w:rPr>
            <w:t>目录</w:t>
          </w:r>
        </w:p>
        <w:p>
          <w:pPr>
            <w:rPr>
              <w:rFonts w:ascii="方正仿宋_GBK" w:hAnsi="方正仿宋_GBK" w:eastAsia="方正仿宋_GBK"/>
              <w:lang w:val="zh-CN"/>
            </w:rPr>
          </w:pPr>
        </w:p>
        <w:p>
          <w:pPr>
            <w:rPr>
              <w:rFonts w:ascii="方正仿宋_GBK" w:hAnsi="方正仿宋_GBK" w:eastAsia="方正仿宋_GBK"/>
              <w:lang w:val="zh-CN"/>
            </w:rPr>
          </w:pPr>
        </w:p>
        <w:p>
          <w:pPr>
            <w:rPr>
              <w:rFonts w:ascii="方正仿宋_GBK" w:hAnsi="方正仿宋_GBK" w:eastAsia="方正仿宋_GBK"/>
              <w:lang w:val="zh-CN"/>
            </w:rPr>
          </w:pPr>
        </w:p>
        <w:p>
          <w:pPr>
            <w:pStyle w:val="10"/>
            <w:tabs>
              <w:tab w:val="right" w:leader="dot" w:pos="8296"/>
            </w:tabs>
            <w:spacing w:line="720" w:lineRule="auto"/>
            <w:rPr>
              <w:rFonts w:ascii="黑体" w:hAnsi="黑体" w:eastAsia="黑体" w:cstheme="minorBidi"/>
              <w:kern w:val="2"/>
              <w:sz w:val="36"/>
              <w:szCs w:val="36"/>
            </w:rPr>
          </w:pPr>
          <w:r>
            <w:rPr>
              <w:rFonts w:ascii="黑体" w:hAnsi="黑体" w:eastAsia="黑体"/>
              <w:sz w:val="44"/>
              <w:szCs w:val="48"/>
            </w:rPr>
            <w:fldChar w:fldCharType="begin"/>
          </w:r>
          <w:r>
            <w:rPr>
              <w:rFonts w:ascii="黑体" w:hAnsi="黑体" w:eastAsia="黑体"/>
              <w:sz w:val="44"/>
              <w:szCs w:val="48"/>
            </w:rPr>
            <w:instrText xml:space="preserve"> TOC \o "1-2" \h \z \u </w:instrText>
          </w:r>
          <w:r>
            <w:rPr>
              <w:rFonts w:ascii="黑体" w:hAnsi="黑体" w:eastAsia="黑体"/>
              <w:sz w:val="44"/>
              <w:szCs w:val="48"/>
            </w:rPr>
            <w:fldChar w:fldCharType="separate"/>
          </w:r>
          <w:r>
            <w:fldChar w:fldCharType="begin"/>
          </w:r>
          <w:r>
            <w:instrText xml:space="preserve"> HYPERLINK \l "_Toc128733551" </w:instrText>
          </w:r>
          <w:r>
            <w:fldChar w:fldCharType="separate"/>
          </w:r>
          <w:r>
            <w:rPr>
              <w:rStyle w:val="17"/>
              <w:rFonts w:ascii="黑体" w:hAnsi="黑体" w:eastAsia="黑体"/>
              <w:sz w:val="36"/>
              <w:szCs w:val="36"/>
              <w:u w:val="none"/>
            </w:rPr>
            <w:t>税务权力事项清单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_Toc128733551 \h </w:instrText>
          </w:r>
          <w:r>
            <w:rPr>
              <w:rFonts w:ascii="黑体" w:hAnsi="黑体" w:eastAsia="黑体"/>
              <w:sz w:val="36"/>
              <w:szCs w:val="36"/>
            </w:rPr>
            <w:fldChar w:fldCharType="separate"/>
          </w:r>
          <w:r>
            <w:rPr>
              <w:rFonts w:ascii="黑体" w:hAnsi="黑体" w:eastAsia="黑体"/>
              <w:sz w:val="36"/>
              <w:szCs w:val="36"/>
            </w:rPr>
            <w:t>1</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"_Toc128733552" </w:instrText>
          </w:r>
          <w:r>
            <w:fldChar w:fldCharType="separate"/>
          </w:r>
          <w:r>
            <w:rPr>
              <w:rStyle w:val="17"/>
              <w:rFonts w:ascii="黑体" w:hAnsi="黑体" w:eastAsia="黑体"/>
              <w:sz w:val="36"/>
              <w:szCs w:val="36"/>
              <w:u w:val="none"/>
            </w:rPr>
            <w:t>办事不找关系路径</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_Toc128733552 \h </w:instrText>
          </w:r>
          <w:r>
            <w:rPr>
              <w:rFonts w:ascii="黑体" w:hAnsi="黑体" w:eastAsia="黑体"/>
              <w:sz w:val="36"/>
              <w:szCs w:val="36"/>
            </w:rPr>
            <w:fldChar w:fldCharType="separate"/>
          </w:r>
          <w:r>
            <w:rPr>
              <w:rFonts w:ascii="黑体" w:hAnsi="黑体" w:eastAsia="黑体"/>
              <w:sz w:val="36"/>
              <w:szCs w:val="36"/>
            </w:rPr>
            <w:t>10</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"_Toc128733554" </w:instrText>
          </w:r>
          <w:r>
            <w:fldChar w:fldCharType="separate"/>
          </w:r>
          <w:r>
            <w:rPr>
              <w:rStyle w:val="17"/>
              <w:rFonts w:ascii="黑体" w:hAnsi="黑体" w:eastAsia="黑体"/>
              <w:sz w:val="36"/>
              <w:szCs w:val="36"/>
              <w:u w:val="none"/>
            </w:rPr>
            <w:t>合规办事业务指南</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_Toc128733554 \h </w:instrText>
          </w:r>
          <w:r>
            <w:rPr>
              <w:rFonts w:ascii="黑体" w:hAnsi="黑体" w:eastAsia="黑体"/>
              <w:sz w:val="36"/>
              <w:szCs w:val="36"/>
            </w:rPr>
            <w:fldChar w:fldCharType="separate"/>
          </w:r>
          <w:r>
            <w:rPr>
              <w:rFonts w:ascii="黑体" w:hAnsi="黑体" w:eastAsia="黑体"/>
              <w:sz w:val="36"/>
              <w:szCs w:val="36"/>
            </w:rPr>
            <w:t>12</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"_Toc128733566" </w:instrText>
          </w:r>
          <w:r>
            <w:fldChar w:fldCharType="separate"/>
          </w:r>
          <w:r>
            <w:rPr>
              <w:rStyle w:val="17"/>
              <w:rFonts w:ascii="黑体" w:hAnsi="黑体" w:eastAsia="黑体"/>
              <w:sz w:val="36"/>
              <w:szCs w:val="36"/>
              <w:u w:val="none"/>
            </w:rPr>
            <w:t>违规禁办</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_Toc128733566 \h </w:instrText>
          </w:r>
          <w:r>
            <w:rPr>
              <w:rFonts w:ascii="黑体" w:hAnsi="黑体" w:eastAsia="黑体"/>
              <w:sz w:val="36"/>
              <w:szCs w:val="36"/>
            </w:rPr>
            <w:fldChar w:fldCharType="separate"/>
          </w:r>
          <w:r>
            <w:rPr>
              <w:rFonts w:ascii="黑体" w:hAnsi="黑体" w:eastAsia="黑体"/>
              <w:sz w:val="36"/>
              <w:szCs w:val="36"/>
            </w:rPr>
            <w:t>54</w:t>
          </w:r>
          <w:r>
            <w:rPr>
              <w:rFonts w:ascii="黑体" w:hAnsi="黑体" w:eastAsia="黑体"/>
              <w:sz w:val="36"/>
              <w:szCs w:val="36"/>
            </w:rPr>
            <w:fldChar w:fldCharType="end"/>
          </w:r>
          <w:r>
            <w:rPr>
              <w:rFonts w:ascii="黑体" w:hAnsi="黑体" w:eastAsia="黑体"/>
              <w:sz w:val="36"/>
              <w:szCs w:val="36"/>
            </w:rPr>
            <w:fldChar w:fldCharType="end"/>
          </w:r>
        </w:p>
        <w:p>
          <w:pPr>
            <w:pStyle w:val="10"/>
            <w:tabs>
              <w:tab w:val="right" w:leader="dot" w:pos="8296"/>
            </w:tabs>
            <w:spacing w:line="720" w:lineRule="auto"/>
            <w:rPr>
              <w:rFonts w:ascii="黑体" w:hAnsi="黑体" w:eastAsia="黑体" w:cstheme="minorBidi"/>
              <w:kern w:val="2"/>
              <w:sz w:val="36"/>
              <w:szCs w:val="36"/>
            </w:rPr>
          </w:pPr>
          <w:r>
            <w:fldChar w:fldCharType="begin"/>
          </w:r>
          <w:r>
            <w:instrText xml:space="preserve"> HYPERLINK \l "_Toc128733568" </w:instrText>
          </w:r>
          <w:r>
            <w:fldChar w:fldCharType="separate"/>
          </w:r>
          <w:r>
            <w:rPr>
              <w:rStyle w:val="17"/>
              <w:rFonts w:ascii="黑体" w:hAnsi="黑体" w:eastAsia="黑体"/>
              <w:sz w:val="36"/>
              <w:szCs w:val="36"/>
              <w:u w:val="none"/>
            </w:rPr>
            <w:t>容缺办理</w:t>
          </w:r>
          <w:r>
            <w:rPr>
              <w:rStyle w:val="17"/>
              <w:rFonts w:hint="eastAsia" w:ascii="黑体" w:hAnsi="黑体" w:eastAsia="黑体"/>
              <w:sz w:val="36"/>
              <w:szCs w:val="36"/>
              <w:u w:val="none"/>
            </w:rPr>
            <w:t>事项</w:t>
          </w:r>
          <w:r>
            <w:rPr>
              <w:rStyle w:val="17"/>
              <w:rFonts w:ascii="黑体" w:hAnsi="黑体" w:eastAsia="黑体"/>
              <w:sz w:val="36"/>
              <w:szCs w:val="36"/>
              <w:u w:val="none"/>
            </w:rPr>
            <w:t>清单</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_Toc128733568 \h </w:instrText>
          </w:r>
          <w:r>
            <w:rPr>
              <w:rFonts w:ascii="黑体" w:hAnsi="黑体" w:eastAsia="黑体"/>
              <w:sz w:val="36"/>
              <w:szCs w:val="36"/>
            </w:rPr>
            <w:fldChar w:fldCharType="separate"/>
          </w:r>
          <w:r>
            <w:rPr>
              <w:rFonts w:ascii="黑体" w:hAnsi="黑体" w:eastAsia="黑体"/>
              <w:sz w:val="36"/>
              <w:szCs w:val="36"/>
            </w:rPr>
            <w:t>56</w:t>
          </w:r>
          <w:r>
            <w:rPr>
              <w:rFonts w:ascii="黑体" w:hAnsi="黑体" w:eastAsia="黑体"/>
              <w:sz w:val="36"/>
              <w:szCs w:val="36"/>
            </w:rPr>
            <w:fldChar w:fldCharType="end"/>
          </w:r>
          <w:r>
            <w:rPr>
              <w:rFonts w:ascii="黑体" w:hAnsi="黑体" w:eastAsia="黑体"/>
              <w:sz w:val="36"/>
              <w:szCs w:val="36"/>
            </w:rPr>
            <w:fldChar w:fldCharType="end"/>
          </w:r>
        </w:p>
        <w:p>
          <w:pPr>
            <w:spacing w:line="720" w:lineRule="auto"/>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黑体" w:hAnsi="黑体" w:eastAsia="黑体" w:cs="Times New Roman"/>
              <w:kern w:val="0"/>
              <w:sz w:val="44"/>
              <w:szCs w:val="48"/>
            </w:rPr>
            <w:fldChar w:fldCharType="end"/>
          </w:r>
        </w:p>
      </w:sdtContent>
    </w:sdt>
    <w:bookmarkEnd w:id="0"/>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1" w:name="_Toc128733551"/>
      <w:r>
        <w:drawing>
          <wp:anchor distT="0" distB="0" distL="114300" distR="114300" simplePos="0" relativeHeight="251662336" behindDoc="0" locked="0" layoutInCell="1" allowOverlap="1">
            <wp:simplePos x="0" y="0"/>
            <wp:positionH relativeFrom="page">
              <wp:posOffset>4864735</wp:posOffset>
            </wp:positionH>
            <wp:positionV relativeFrom="paragraph">
              <wp:posOffset>-486410</wp:posOffset>
            </wp:positionV>
            <wp:extent cx="1468755" cy="146875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468800" cy="1468800"/>
                    </a:xfrm>
                    <a:prstGeom prst="rect">
                      <a:avLst/>
                    </a:prstGeom>
                    <a:noFill/>
                    <a:ln>
                      <a:noFill/>
                    </a:ln>
                  </pic:spPr>
                </pic:pic>
              </a:graphicData>
            </a:graphic>
          </wp:anchor>
        </w:drawing>
      </w:r>
      <w:r>
        <w:rPr>
          <w:rFonts w:hint="eastAsia" w:ascii="方正仿宋_GBK" w:hAnsi="方正仿宋_GBK" w:eastAsia="方正仿宋_GBK"/>
        </w:rPr>
        <w:t>税务权力事项清单</w:t>
      </w:r>
      <w:bookmarkEnd w:id="1"/>
    </w:p>
    <w:tbl>
      <w:tblPr>
        <w:tblStyle w:val="13"/>
        <w:tblW w:w="8522" w:type="dxa"/>
        <w:jc w:val="center"/>
        <w:tblLayout w:type="autofit"/>
        <w:tblCellMar>
          <w:top w:w="0" w:type="dxa"/>
          <w:left w:w="108" w:type="dxa"/>
          <w:bottom w:w="0" w:type="dxa"/>
          <w:right w:w="108" w:type="dxa"/>
        </w:tblCellMar>
      </w:tblPr>
      <w:tblGrid>
        <w:gridCol w:w="1526"/>
        <w:gridCol w:w="695"/>
        <w:gridCol w:w="2685"/>
        <w:gridCol w:w="455"/>
        <w:gridCol w:w="222"/>
        <w:gridCol w:w="2939"/>
      </w:tblGrid>
      <w:tr>
        <w:tblPrEx>
          <w:tblCellMar>
            <w:top w:w="0" w:type="dxa"/>
            <w:left w:w="108" w:type="dxa"/>
            <w:bottom w:w="0" w:type="dxa"/>
            <w:right w:w="108" w:type="dxa"/>
          </w:tblCellMar>
        </w:tblPrEx>
        <w:trPr>
          <w:trHeight w:val="224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269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456"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92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一、信息报告</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一照一码户/个体工商户信息确认</w:t>
            </w:r>
          </w:p>
        </w:tc>
        <w:tc>
          <w:tcPr>
            <w:tcW w:w="456" w:type="dxa"/>
            <w:tcBorders>
              <w:top w:val="nil"/>
              <w:left w:val="nil"/>
              <w:bottom w:val="single" w:color="auto" w:sz="4" w:space="0"/>
              <w:right w:val="nil"/>
            </w:tcBorders>
            <w:vAlign w:val="center"/>
          </w:tcPr>
          <w:p>
            <w:pPr>
              <w:widowControl/>
              <w:jc w:val="center"/>
            </w:pPr>
            <w:r>
              <w:rPr>
                <w:rFonts w:hint="eastAsia"/>
              </w:rPr>
              <w:t>1</w:t>
            </w:r>
            <w:r>
              <w:t>2</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eastAsia" w:ascii="方正仿宋_GBK" w:hAnsi="方正仿宋_GBK" w:eastAsia="方正仿宋_GBK" w:cs="宋体"/>
                <w:color w:val="000000"/>
                <w:kern w:val="0"/>
                <w:sz w:val="22"/>
              </w:rPr>
              <w:drawing>
                <wp:inline distT="0" distB="0" distL="114300" distR="114300">
                  <wp:extent cx="1714500" cy="1714500"/>
                  <wp:effectExtent l="0" t="0" r="7620" b="7620"/>
                  <wp:docPr id="24" name="图片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
                          <pic:cNvPicPr>
                            <a:picLocks noChangeAspect="1"/>
                          </pic:cNvPicPr>
                        </pic:nvPicPr>
                        <pic:blipFill>
                          <a:blip r:embed="rId8" cstate="print"/>
                          <a:stretch>
                            <a:fillRect/>
                          </a:stretch>
                        </pic:blipFill>
                        <pic:spPr>
                          <a:xfrm>
                            <a:off x="0" y="0"/>
                            <a:ext cx="1714500" cy="1714500"/>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456" w:type="dxa"/>
            <w:tcBorders>
              <w:top w:val="nil"/>
              <w:left w:val="nil"/>
              <w:bottom w:val="single" w:color="auto" w:sz="4" w:space="0"/>
              <w:right w:val="nil"/>
            </w:tcBorders>
            <w:vAlign w:val="center"/>
          </w:tcPr>
          <w:p>
            <w:pPr>
              <w:widowControl/>
              <w:jc w:val="center"/>
            </w:pPr>
            <w:r>
              <w:rPr>
                <w:rFonts w:hint="eastAsia"/>
              </w:rPr>
              <w:t>1</w:t>
            </w:r>
            <w:r>
              <w:t>3</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财务会计制度及核算软件备案报告</w:t>
            </w:r>
          </w:p>
        </w:tc>
        <w:tc>
          <w:tcPr>
            <w:tcW w:w="456" w:type="dxa"/>
            <w:tcBorders>
              <w:top w:val="nil"/>
              <w:left w:val="nil"/>
              <w:bottom w:val="single" w:color="auto" w:sz="4" w:space="0"/>
              <w:right w:val="nil"/>
            </w:tcBorders>
            <w:vAlign w:val="center"/>
          </w:tcPr>
          <w:p>
            <w:pPr>
              <w:widowControl/>
              <w:jc w:val="center"/>
            </w:pPr>
            <w:r>
              <w:rPr>
                <w:rFonts w:hint="eastAsia"/>
              </w:rPr>
              <w:t>13</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银税三方（委托）划缴协议</w:t>
            </w:r>
          </w:p>
        </w:tc>
        <w:tc>
          <w:tcPr>
            <w:tcW w:w="456" w:type="dxa"/>
            <w:tcBorders>
              <w:top w:val="nil"/>
              <w:left w:val="nil"/>
              <w:bottom w:val="single" w:color="auto" w:sz="4" w:space="0"/>
              <w:right w:val="nil"/>
            </w:tcBorders>
            <w:vAlign w:val="center"/>
          </w:tcPr>
          <w:p>
            <w:pPr>
              <w:widowControl/>
              <w:jc w:val="center"/>
            </w:pPr>
            <w:r>
              <w:rPr>
                <w:rFonts w:hint="eastAsia"/>
              </w:rPr>
              <w:t>14</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1"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增值税一般纳税人登记</w:t>
            </w:r>
          </w:p>
        </w:tc>
        <w:tc>
          <w:tcPr>
            <w:tcW w:w="456" w:type="dxa"/>
            <w:tcBorders>
              <w:top w:val="nil"/>
              <w:left w:val="nil"/>
              <w:bottom w:val="single" w:color="auto" w:sz="4" w:space="0"/>
              <w:right w:val="nil"/>
            </w:tcBorders>
            <w:vAlign w:val="center"/>
          </w:tcPr>
          <w:p>
            <w:pPr>
              <w:widowControl/>
              <w:jc w:val="center"/>
            </w:pPr>
            <w:r>
              <w:rPr>
                <w:rFonts w:hint="eastAsia"/>
              </w:rPr>
              <w:t>15</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二、发票业务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增值税专用发票（增值税税控系统）最高开票限额审批</w:t>
            </w:r>
          </w:p>
        </w:tc>
        <w:tc>
          <w:tcPr>
            <w:tcW w:w="456" w:type="dxa"/>
            <w:tcBorders>
              <w:top w:val="nil"/>
              <w:left w:val="nil"/>
              <w:bottom w:val="single" w:color="auto" w:sz="4" w:space="0"/>
              <w:right w:val="nil"/>
            </w:tcBorders>
            <w:vAlign w:val="center"/>
          </w:tcPr>
          <w:p>
            <w:pPr>
              <w:widowControl/>
              <w:jc w:val="center"/>
            </w:pPr>
            <w:r>
              <w:rPr>
                <w:rFonts w:hint="eastAsia"/>
              </w:rPr>
              <w:t>16</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3"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发票领用</w:t>
            </w:r>
          </w:p>
        </w:tc>
        <w:tc>
          <w:tcPr>
            <w:tcW w:w="456" w:type="dxa"/>
            <w:tcBorders>
              <w:top w:val="nil"/>
              <w:left w:val="nil"/>
              <w:bottom w:val="single" w:color="auto" w:sz="4" w:space="0"/>
              <w:right w:val="nil"/>
            </w:tcBorders>
            <w:vAlign w:val="center"/>
          </w:tcPr>
          <w:p>
            <w:pPr>
              <w:widowControl/>
              <w:jc w:val="center"/>
            </w:pPr>
            <w:r>
              <w:rPr>
                <w:rFonts w:hint="eastAsia"/>
              </w:rPr>
              <w:t>16</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8</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代开增值税专用发票</w:t>
            </w:r>
          </w:p>
        </w:tc>
        <w:tc>
          <w:tcPr>
            <w:tcW w:w="456" w:type="dxa"/>
            <w:tcBorders>
              <w:top w:val="nil"/>
              <w:left w:val="nil"/>
              <w:bottom w:val="single" w:color="auto" w:sz="4" w:space="0"/>
              <w:right w:val="nil"/>
            </w:tcBorders>
            <w:vAlign w:val="center"/>
          </w:tcPr>
          <w:p>
            <w:pPr>
              <w:widowControl/>
              <w:jc w:val="center"/>
            </w:pPr>
            <w:r>
              <w:rPr>
                <w:rFonts w:hint="eastAsia"/>
              </w:rPr>
              <w:t>16</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9</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456" w:type="dxa"/>
            <w:tcBorders>
              <w:top w:val="nil"/>
              <w:left w:val="nil"/>
              <w:bottom w:val="single" w:color="auto" w:sz="4" w:space="0"/>
              <w:right w:val="nil"/>
            </w:tcBorders>
            <w:vAlign w:val="center"/>
          </w:tcPr>
          <w:p>
            <w:pPr>
              <w:widowControl/>
              <w:jc w:val="center"/>
            </w:pPr>
            <w:r>
              <w:rPr>
                <w:rFonts w:hint="eastAsia"/>
              </w:rPr>
              <w:t>17</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6"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top w:val="nil"/>
              <w:left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三、申报纳税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10</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增值税一般纳税人申报</w:t>
            </w:r>
          </w:p>
        </w:tc>
        <w:tc>
          <w:tcPr>
            <w:tcW w:w="456" w:type="dxa"/>
            <w:tcBorders>
              <w:top w:val="nil"/>
              <w:left w:val="nil"/>
              <w:bottom w:val="single" w:color="auto" w:sz="4" w:space="0"/>
              <w:right w:val="nil"/>
            </w:tcBorders>
            <w:vAlign w:val="center"/>
          </w:tcPr>
          <w:p>
            <w:pPr>
              <w:widowControl/>
              <w:jc w:val="center"/>
            </w:pPr>
            <w:r>
              <w:rPr>
                <w:rFonts w:hint="eastAsia"/>
              </w:rPr>
              <w:t>18</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7"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11</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增值税小规模纳税人申报</w:t>
            </w:r>
          </w:p>
        </w:tc>
        <w:tc>
          <w:tcPr>
            <w:tcW w:w="456" w:type="dxa"/>
            <w:tcBorders>
              <w:top w:val="nil"/>
              <w:left w:val="nil"/>
              <w:bottom w:val="single" w:color="auto" w:sz="4" w:space="0"/>
              <w:right w:val="nil"/>
            </w:tcBorders>
            <w:vAlign w:val="center"/>
          </w:tcPr>
          <w:p>
            <w:pPr>
              <w:widowControl/>
              <w:jc w:val="center"/>
            </w:pPr>
            <w:r>
              <w:rPr>
                <w:rFonts w:hint="eastAsia"/>
              </w:rPr>
              <w:t>21</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8"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12</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居民企业（查账征收）企业所得税年度申报</w:t>
            </w:r>
          </w:p>
        </w:tc>
        <w:tc>
          <w:tcPr>
            <w:tcW w:w="456" w:type="dxa"/>
            <w:tcBorders>
              <w:top w:val="nil"/>
              <w:left w:val="nil"/>
              <w:bottom w:val="single" w:color="auto" w:sz="4" w:space="0"/>
              <w:right w:val="nil"/>
            </w:tcBorders>
            <w:vAlign w:val="center"/>
          </w:tcPr>
          <w:p>
            <w:pPr>
              <w:widowControl/>
              <w:jc w:val="center"/>
            </w:pPr>
            <w:r>
              <w:rPr>
                <w:rFonts w:hint="eastAsia"/>
              </w:rPr>
              <w:t>18</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13</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房产税申报</w:t>
            </w:r>
          </w:p>
        </w:tc>
        <w:tc>
          <w:tcPr>
            <w:tcW w:w="456" w:type="dxa"/>
            <w:tcBorders>
              <w:top w:val="nil"/>
              <w:left w:val="nil"/>
              <w:bottom w:val="single" w:color="auto" w:sz="4" w:space="0"/>
              <w:right w:val="nil"/>
            </w:tcBorders>
            <w:vAlign w:val="center"/>
          </w:tcPr>
          <w:p>
            <w:pPr>
              <w:widowControl/>
              <w:jc w:val="center"/>
            </w:pPr>
            <w:r>
              <w:rPr>
                <w:rFonts w:hint="eastAsia"/>
              </w:rPr>
              <w:t>24</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0"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14</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城镇土地使用税申报</w:t>
            </w:r>
          </w:p>
        </w:tc>
        <w:tc>
          <w:tcPr>
            <w:tcW w:w="456" w:type="dxa"/>
            <w:tcBorders>
              <w:top w:val="nil"/>
              <w:left w:val="nil"/>
              <w:bottom w:val="single" w:color="auto" w:sz="4" w:space="0"/>
              <w:right w:val="nil"/>
            </w:tcBorders>
            <w:vAlign w:val="center"/>
          </w:tcPr>
          <w:p>
            <w:pPr>
              <w:widowControl/>
              <w:jc w:val="center"/>
            </w:pPr>
            <w:r>
              <w:rPr>
                <w:rFonts w:hint="eastAsia"/>
              </w:rPr>
              <w:t>25</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1"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15</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契税申报</w:t>
            </w:r>
          </w:p>
        </w:tc>
        <w:tc>
          <w:tcPr>
            <w:tcW w:w="456" w:type="dxa"/>
            <w:tcBorders>
              <w:top w:val="nil"/>
              <w:left w:val="nil"/>
              <w:bottom w:val="single" w:color="auto" w:sz="4" w:space="0"/>
              <w:right w:val="nil"/>
            </w:tcBorders>
            <w:vAlign w:val="center"/>
          </w:tcPr>
          <w:p>
            <w:pPr>
              <w:widowControl/>
              <w:jc w:val="center"/>
            </w:pPr>
            <w:r>
              <w:rPr>
                <w:rFonts w:hint="eastAsia"/>
              </w:rPr>
              <w:t>18</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2"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vMerge w:val="restart"/>
            <w:tcBorders>
              <w:left w:val="single" w:color="auto" w:sz="4" w:space="0"/>
              <w:right w:val="single" w:color="auto" w:sz="4" w:space="0"/>
            </w:tcBorders>
            <w:shd w:val="clear" w:color="auto" w:fill="auto"/>
            <w:noWrap/>
            <w:vAlign w:val="center"/>
          </w:tcPr>
          <w:p>
            <w:pPr>
              <w:widowControl/>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五、证明办理</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16</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456" w:type="dxa"/>
            <w:tcBorders>
              <w:top w:val="nil"/>
              <w:left w:val="nil"/>
              <w:bottom w:val="single" w:color="auto" w:sz="4" w:space="0"/>
              <w:right w:val="nil"/>
            </w:tcBorders>
            <w:vAlign w:val="center"/>
          </w:tcPr>
          <w:p>
            <w:pPr>
              <w:widowControl/>
              <w:jc w:val="center"/>
            </w:pPr>
            <w:r>
              <w:rPr>
                <w:rFonts w:hint="eastAsia"/>
              </w:rPr>
              <w:t>23</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3"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vMerge w:val="continue"/>
            <w:tcBorders>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17</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开具无欠税证明</w:t>
            </w:r>
          </w:p>
        </w:tc>
        <w:tc>
          <w:tcPr>
            <w:tcW w:w="456" w:type="dxa"/>
            <w:tcBorders>
              <w:top w:val="nil"/>
              <w:left w:val="nil"/>
              <w:bottom w:val="single" w:color="auto" w:sz="4" w:space="0"/>
              <w:right w:val="nil"/>
            </w:tcBorders>
            <w:vAlign w:val="center"/>
          </w:tcPr>
          <w:p>
            <w:pPr>
              <w:widowControl/>
              <w:jc w:val="center"/>
            </w:pPr>
            <w:r>
              <w:rPr>
                <w:rFonts w:hint="eastAsia"/>
              </w:rPr>
              <w:t>24</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4"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350" w:hRule="atLeast"/>
          <w:jc w:val="center"/>
        </w:trPr>
        <w:tc>
          <w:tcPr>
            <w:tcW w:w="1530" w:type="dxa"/>
            <w:vMerge w:val="restart"/>
            <w:tcBorders>
              <w:top w:val="nil"/>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六、国际税收业务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18</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456" w:type="dxa"/>
            <w:tcBorders>
              <w:top w:val="nil"/>
              <w:left w:val="nil"/>
              <w:bottom w:val="single" w:color="auto" w:sz="4" w:space="0"/>
              <w:right w:val="nil"/>
            </w:tcBorders>
            <w:vAlign w:val="center"/>
          </w:tcPr>
          <w:p>
            <w:pPr>
              <w:widowControl/>
              <w:jc w:val="center"/>
            </w:pPr>
            <w:r>
              <w:rPr>
                <w:rFonts w:hint="eastAsia"/>
              </w:rPr>
              <w:t>4</w:t>
            </w:r>
            <w:r>
              <w:t>1</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noChangeArrowheads="1"/>
                          </pic:cNvPicPr>
                        </pic:nvPicPr>
                        <pic:blipFill>
                          <a:blip r:embed="rId25"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90" w:hRule="atLeast"/>
          <w:jc w:val="center"/>
        </w:trPr>
        <w:tc>
          <w:tcPr>
            <w:tcW w:w="1530" w:type="dxa"/>
            <w:vMerge w:val="continue"/>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19</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456" w:type="dxa"/>
            <w:tcBorders>
              <w:top w:val="nil"/>
              <w:left w:val="nil"/>
              <w:bottom w:val="single" w:color="auto" w:sz="4" w:space="0"/>
              <w:right w:val="nil"/>
            </w:tcBorders>
            <w:vAlign w:val="center"/>
          </w:tcPr>
          <w:p>
            <w:pPr>
              <w:widowControl/>
              <w:jc w:val="center"/>
            </w:pPr>
            <w:r>
              <w:rPr>
                <w:rFonts w:hint="eastAsia"/>
              </w:rPr>
              <w:t>4</w:t>
            </w:r>
            <w:r>
              <w:t>2</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noChangeArrowheads="1"/>
                          </pic:cNvPicPr>
                        </pic:nvPicPr>
                        <pic:blipFill>
                          <a:blip r:embed="rId26"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90" w:hRule="atLeast"/>
          <w:jc w:val="center"/>
        </w:trPr>
        <w:tc>
          <w:tcPr>
            <w:tcW w:w="1530" w:type="dxa"/>
            <w:vMerge w:val="restart"/>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七、个人所得税</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20</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居民综合所得个人所得税年度自行申报</w:t>
            </w:r>
          </w:p>
        </w:tc>
        <w:tc>
          <w:tcPr>
            <w:tcW w:w="456" w:type="dxa"/>
            <w:tcBorders>
              <w:top w:val="nil"/>
              <w:left w:val="nil"/>
              <w:bottom w:val="single" w:color="auto" w:sz="4" w:space="0"/>
              <w:right w:val="nil"/>
            </w:tcBorders>
            <w:vAlign w:val="center"/>
          </w:tcPr>
          <w:p>
            <w:pPr>
              <w:widowControl/>
              <w:jc w:val="center"/>
            </w:pPr>
            <w:r>
              <w:rPr>
                <w:rFonts w:hint="eastAsia"/>
              </w:rPr>
              <w:t>4</w:t>
            </w:r>
            <w:r>
              <w:t>3</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27"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1530" w:type="dxa"/>
            <w:vMerge w:val="continue"/>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21</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经营所得个人所得税年度申报</w:t>
            </w:r>
          </w:p>
        </w:tc>
        <w:tc>
          <w:tcPr>
            <w:tcW w:w="456" w:type="dxa"/>
            <w:tcBorders>
              <w:top w:val="nil"/>
              <w:left w:val="nil"/>
              <w:bottom w:val="single" w:color="auto" w:sz="4" w:space="0"/>
              <w:right w:val="nil"/>
            </w:tcBorders>
            <w:vAlign w:val="center"/>
          </w:tcPr>
          <w:p>
            <w:pPr>
              <w:widowControl/>
              <w:jc w:val="center"/>
            </w:pPr>
            <w:r>
              <w:rPr>
                <w:rFonts w:hint="eastAsia"/>
              </w:rPr>
              <w:t>4</w:t>
            </w:r>
            <w:r>
              <w:t>5</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noChangeArrowheads="1"/>
                          </pic:cNvPicPr>
                        </pic:nvPicPr>
                        <pic:blipFill>
                          <a:blip r:embed="rId28"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1530" w:type="dxa"/>
            <w:vMerge w:val="continue"/>
            <w:tcBorders>
              <w:left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22</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456" w:type="dxa"/>
            <w:tcBorders>
              <w:top w:val="nil"/>
              <w:left w:val="nil"/>
              <w:bottom w:val="single" w:color="auto" w:sz="4" w:space="0"/>
              <w:right w:val="nil"/>
            </w:tcBorders>
            <w:vAlign w:val="center"/>
          </w:tcPr>
          <w:p>
            <w:pPr>
              <w:widowControl/>
              <w:jc w:val="center"/>
            </w:pPr>
            <w:r>
              <w:rPr>
                <w:rFonts w:hint="eastAsia"/>
              </w:rPr>
              <w:t>4</w:t>
            </w:r>
            <w:r>
              <w:t>7</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noChangeArrowheads="1"/>
                          </pic:cNvPicPr>
                        </pic:nvPicPr>
                        <pic:blipFill>
                          <a:blip r:embed="rId29"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1530" w:type="dxa"/>
            <w:tcBorders>
              <w:top w:val="single" w:color="auto" w:sz="4" w:space="0"/>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八、信用评价</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23</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纳税信用修复</w:t>
            </w:r>
          </w:p>
        </w:tc>
        <w:tc>
          <w:tcPr>
            <w:tcW w:w="456" w:type="dxa"/>
            <w:tcBorders>
              <w:top w:val="nil"/>
              <w:left w:val="nil"/>
              <w:bottom w:val="single" w:color="auto" w:sz="4" w:space="0"/>
              <w:right w:val="nil"/>
            </w:tcBorders>
            <w:vAlign w:val="center"/>
          </w:tcPr>
          <w:p>
            <w:pPr>
              <w:widowControl/>
              <w:jc w:val="center"/>
            </w:pPr>
            <w:r>
              <w:rPr>
                <w:rFonts w:hint="eastAsia"/>
              </w:rPr>
              <w:t>4</w:t>
            </w:r>
            <w:r>
              <w:t>8</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noChangeArrowheads="1"/>
                          </pic:cNvPicPr>
                        </pic:nvPicPr>
                        <pic:blipFill>
                          <a:blip r:embed="rId30"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1530" w:type="dxa"/>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十、税务注销</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24</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税务注销即时办理</w:t>
            </w:r>
          </w:p>
        </w:tc>
        <w:tc>
          <w:tcPr>
            <w:tcW w:w="456" w:type="dxa"/>
            <w:tcBorders>
              <w:top w:val="nil"/>
              <w:left w:val="nil"/>
              <w:bottom w:val="single" w:color="auto" w:sz="4" w:space="0"/>
              <w:right w:val="nil"/>
            </w:tcBorders>
            <w:vAlign w:val="center"/>
          </w:tcPr>
          <w:p>
            <w:pPr>
              <w:widowControl/>
              <w:jc w:val="center"/>
            </w:pPr>
            <w:r>
              <w:rPr>
                <w:rFonts w:hint="eastAsia"/>
              </w:rPr>
              <w:t>4</w:t>
            </w:r>
            <w:r>
              <w:t>9</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noChangeArrowheads="1"/>
                          </pic:cNvPicPr>
                        </pic:nvPicPr>
                        <pic:blipFill>
                          <a:blip r:embed="rId31"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875" w:hRule="atLeast"/>
          <w:jc w:val="center"/>
        </w:trPr>
        <w:tc>
          <w:tcPr>
            <w:tcW w:w="1530" w:type="dxa"/>
            <w:vMerge w:val="restart"/>
            <w:tcBorders>
              <w:left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十一、涉税信息查询</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25</w:t>
            </w:r>
          </w:p>
        </w:tc>
        <w:tc>
          <w:tcPr>
            <w:tcW w:w="2691"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纳税人涉税信息查询（书面申请）</w:t>
            </w:r>
          </w:p>
        </w:tc>
        <w:tc>
          <w:tcPr>
            <w:tcW w:w="456" w:type="dxa"/>
            <w:tcBorders>
              <w:top w:val="nil"/>
              <w:left w:val="nil"/>
              <w:bottom w:val="single" w:color="auto" w:sz="4" w:space="0"/>
              <w:right w:val="nil"/>
            </w:tcBorders>
            <w:vAlign w:val="center"/>
          </w:tcPr>
          <w:p>
            <w:pPr>
              <w:widowControl/>
              <w:jc w:val="center"/>
            </w:pPr>
            <w:r>
              <w:rPr>
                <w:rFonts w:hint="eastAsia"/>
              </w:rPr>
              <w:t>5</w:t>
            </w:r>
            <w:r>
              <w:t>0</w:t>
            </w:r>
          </w:p>
        </w:tc>
        <w:tc>
          <w:tcPr>
            <w:tcW w:w="222" w:type="dxa"/>
            <w:tcBorders>
              <w:top w:val="nil"/>
              <w:left w:val="nil"/>
              <w:bottom w:val="single" w:color="auto" w:sz="4" w:space="0"/>
              <w:right w:val="single" w:color="auto" w:sz="4" w:space="0"/>
            </w:tcBorders>
          </w:tcPr>
          <w:p>
            <w:pPr>
              <w:widowControl/>
              <w:jc w:val="center"/>
            </w:pPr>
          </w:p>
        </w:tc>
        <w:tc>
          <w:tcPr>
            <w:tcW w:w="292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noChangeArrowheads="1"/>
                          </pic:cNvPicPr>
                        </pic:nvPicPr>
                        <pic:blipFill>
                          <a:blip r:embed="rId32" cstate="print"/>
                          <a:stretch>
                            <a:fillRect/>
                          </a:stretch>
                        </pic:blipFill>
                        <pic:spPr>
                          <a:xfrm>
                            <a:off x="0" y="0"/>
                            <a:ext cx="1707515" cy="1707515"/>
                          </a:xfrm>
                          <a:prstGeom prst="rect">
                            <a:avLst/>
                          </a:prstGeom>
                          <a:noFill/>
                          <a:ln>
                            <a:noFill/>
                          </a:ln>
                        </pic:spPr>
                      </pic:pic>
                    </a:graphicData>
                  </a:graphic>
                </wp:inline>
              </w:drawing>
            </w:r>
          </w:p>
        </w:tc>
      </w:tr>
      <w:tr>
        <w:tblPrEx>
          <w:tblCellMar>
            <w:top w:w="0" w:type="dxa"/>
            <w:left w:w="108" w:type="dxa"/>
            <w:bottom w:w="0" w:type="dxa"/>
            <w:right w:w="108" w:type="dxa"/>
          </w:tblCellMar>
        </w:tblPrEx>
        <w:trPr>
          <w:trHeight w:val="1080" w:hRule="atLeast"/>
          <w:jc w:val="center"/>
        </w:trPr>
        <w:tc>
          <w:tcPr>
            <w:tcW w:w="1530" w:type="dxa"/>
            <w:vMerge w:val="continue"/>
            <w:tcBorders>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26</w:t>
            </w:r>
          </w:p>
        </w:tc>
        <w:tc>
          <w:tcPr>
            <w:tcW w:w="2691"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第三方涉税保密信息查询</w:t>
            </w:r>
          </w:p>
        </w:tc>
        <w:tc>
          <w:tcPr>
            <w:tcW w:w="456" w:type="dxa"/>
            <w:tcBorders>
              <w:top w:val="single" w:color="auto" w:sz="4" w:space="0"/>
              <w:left w:val="nil"/>
              <w:bottom w:val="single" w:color="auto" w:sz="4" w:space="0"/>
              <w:right w:val="nil"/>
            </w:tcBorders>
            <w:vAlign w:val="center"/>
          </w:tcPr>
          <w:p>
            <w:pPr>
              <w:widowControl/>
              <w:jc w:val="center"/>
            </w:pPr>
            <w:r>
              <w:rPr>
                <w:rFonts w:hint="eastAsia"/>
              </w:rPr>
              <w:t>5</w:t>
            </w:r>
            <w:r>
              <w:t>2</w:t>
            </w:r>
          </w:p>
        </w:tc>
        <w:tc>
          <w:tcPr>
            <w:tcW w:w="222" w:type="dxa"/>
            <w:tcBorders>
              <w:top w:val="single" w:color="auto" w:sz="4" w:space="0"/>
              <w:left w:val="nil"/>
              <w:bottom w:val="single" w:color="auto" w:sz="4" w:space="0"/>
              <w:right w:val="single" w:color="auto" w:sz="4" w:space="0"/>
            </w:tcBorders>
          </w:tcPr>
          <w:p>
            <w:pPr>
              <w:widowControl/>
              <w:jc w:val="center"/>
            </w:pPr>
          </w:p>
        </w:tc>
        <w:tc>
          <w:tcPr>
            <w:tcW w:w="292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drawing>
                <wp:inline distT="0" distB="0" distL="0" distR="0">
                  <wp:extent cx="1707515" cy="1707515"/>
                  <wp:effectExtent l="19050" t="0" r="698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noChangeArrowheads="1"/>
                          </pic:cNvPicPr>
                        </pic:nvPicPr>
                        <pic:blipFill>
                          <a:blip r:embed="rId33" cstate="print"/>
                          <a:stretch>
                            <a:fillRect/>
                          </a:stretch>
                        </pic:blipFill>
                        <pic:spPr>
                          <a:xfrm>
                            <a:off x="0" y="0"/>
                            <a:ext cx="1707515" cy="1707515"/>
                          </a:xfrm>
                          <a:prstGeom prst="rect">
                            <a:avLst/>
                          </a:prstGeom>
                          <a:noFill/>
                          <a:ln>
                            <a:noFill/>
                          </a:ln>
                        </pic:spPr>
                      </pic:pic>
                    </a:graphicData>
                  </a:graphic>
                </wp:inline>
              </w:drawing>
            </w:r>
          </w:p>
        </w:tc>
      </w:tr>
    </w:tbl>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rPr>
          <w:rFonts w:ascii="方正仿宋_GBK" w:hAnsi="方正仿宋_GBK" w:eastAsia="方正仿宋_GBK"/>
        </w:rPr>
      </w:pPr>
      <w:bookmarkStart w:id="2" w:name="_Toc128733552"/>
      <w:r>
        <w:rPr>
          <w:rFonts w:hint="eastAsia" w:ascii="方正仿宋_GBK" w:hAnsi="方正仿宋_GBK" w:eastAsia="方正仿宋_GBK"/>
        </w:rPr>
        <w:t>办事不找关系路径</w:t>
      </w:r>
      <w:bookmarkEnd w:id="2"/>
    </w:p>
    <w:p>
      <w:pPr>
        <w:rPr>
          <w:rFonts w:ascii="方正仿宋_GBK" w:hAnsi="方正仿宋_GBK" w:eastAsia="方正仿宋_GBK"/>
        </w:rPr>
      </w:pPr>
    </w:p>
    <w:p>
      <w:pPr>
        <w:tabs>
          <w:tab w:val="left" w:pos="1131"/>
        </w:tabs>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r>
        <w:rPr>
          <w:rFonts w:ascii="方正仿宋_GBK" w:hAnsi="方正仿宋_GBK" w:eastAsia="方正仿宋_GBK"/>
        </w:rPr>
        <w:tab/>
      </w:r>
      <w:r>
        <w:rPr>
          <w:rFonts w:ascii="方正仿宋_GBK" w:hAnsi="方正仿宋_GBK" w:eastAsia="方正仿宋_GBK"/>
        </w:rPr>
        <w:drawing>
          <wp:inline distT="0" distB="0" distL="0" distR="0">
            <wp:extent cx="5563870" cy="61785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568455" cy="6183507"/>
                    </a:xfrm>
                    <a:prstGeom prst="rect">
                      <a:avLst/>
                    </a:prstGeom>
                    <a:noFill/>
                    <a:ln>
                      <a:noFill/>
                    </a:ln>
                  </pic:spPr>
                </pic:pic>
              </a:graphicData>
            </a:graphic>
          </wp:inline>
        </w:drawing>
      </w:r>
    </w:p>
    <w:p>
      <w:pPr>
        <w:pStyle w:val="2"/>
        <w:rPr>
          <w:rFonts w:ascii="方正仿宋_GBK" w:hAnsi="方正仿宋_GBK" w:eastAsia="方正仿宋_GBK"/>
        </w:rPr>
      </w:pPr>
      <w:bookmarkStart w:id="3" w:name="_Toc128599265"/>
      <w:bookmarkStart w:id="4" w:name="_Toc128733481"/>
      <w:bookmarkStart w:id="5" w:name="_Toc128733553"/>
      <w:r>
        <w:rPr>
          <w:rFonts w:ascii="方正仿宋_GBK" w:hAnsi="方正仿宋_GBK" w:eastAsia="方正仿宋_GBK"/>
        </w:rPr>
        <w:drawing>
          <wp:anchor distT="0" distB="0" distL="114300" distR="114300" simplePos="0" relativeHeight="251659264" behindDoc="1" locked="0" layoutInCell="1" allowOverlap="1">
            <wp:simplePos x="0" y="0"/>
            <wp:positionH relativeFrom="column">
              <wp:posOffset>4048125</wp:posOffset>
            </wp:positionH>
            <wp:positionV relativeFrom="paragraph">
              <wp:posOffset>0</wp:posOffset>
            </wp:positionV>
            <wp:extent cx="1469390" cy="1469390"/>
            <wp:effectExtent l="0" t="0" r="0" b="0"/>
            <wp:wrapTight wrapText="bothSides">
              <wp:wrapPolygon>
                <wp:start x="0" y="0"/>
                <wp:lineTo x="0" y="21283"/>
                <wp:lineTo x="21283" y="21283"/>
                <wp:lineTo x="212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r>
        <w:rPr>
          <w:rFonts w:hint="eastAsia" w:ascii="方正仿宋_GBK" w:hAnsi="方正仿宋_GBK" w:eastAsia="方正仿宋_GBK"/>
        </w:rPr>
        <w:t>各分局（所）办税服务厅</w:t>
      </w:r>
      <w:bookmarkEnd w:id="3"/>
      <w:bookmarkEnd w:id="4"/>
      <w:bookmarkEnd w:id="5"/>
    </w:p>
    <w:tbl>
      <w:tblPr>
        <w:tblStyle w:val="13"/>
        <w:tblpPr w:leftFromText="180" w:rightFromText="180" w:vertAnchor="text" w:horzAnchor="page" w:tblpX="1657" w:tblpY="630"/>
        <w:tblOverlap w:val="never"/>
        <w:tblW w:w="8807" w:type="dxa"/>
        <w:tblInd w:w="0" w:type="dxa"/>
        <w:tblLayout w:type="fixed"/>
        <w:tblCellMar>
          <w:top w:w="0" w:type="dxa"/>
          <w:left w:w="108" w:type="dxa"/>
          <w:bottom w:w="0" w:type="dxa"/>
          <w:right w:w="108" w:type="dxa"/>
        </w:tblCellMar>
      </w:tblPr>
      <w:tblGrid>
        <w:gridCol w:w="648"/>
        <w:gridCol w:w="3888"/>
        <w:gridCol w:w="2830"/>
        <w:gridCol w:w="1441"/>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序号</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机构名称</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地  址</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1</w:t>
            </w:r>
          </w:p>
        </w:tc>
        <w:tc>
          <w:tcPr>
            <w:tcW w:w="388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丹东边境经济合作区税务局第一税务所（办税服务厅）</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振兴区银河大街102号</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rPr>
              <w:t>0415-3121148</w:t>
            </w:r>
          </w:p>
        </w:tc>
      </w:tr>
    </w:tbl>
    <w:p>
      <w:pPr>
        <w:rPr>
          <w:rFonts w:ascii="方正仿宋_GBK" w:hAnsi="方正仿宋_GBK" w:eastAsia="方正仿宋_GBK"/>
          <w:sz w:val="28"/>
          <w:szCs w:val="28"/>
        </w:rPr>
      </w:pPr>
    </w:p>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6" w:name="_Toc128733554"/>
      <w:r>
        <w:rPr>
          <w:rFonts w:hint="eastAsia" w:ascii="方正仿宋_GBK" w:hAnsi="方正仿宋_GBK" w:eastAsia="方正仿宋_GBK"/>
        </w:rPr>
        <w:t>合规办事业务指南</w:t>
      </w:r>
      <w:bookmarkEnd w:id="6"/>
      <w:r>
        <w:rPr>
          <w:rFonts w:hint="eastAsia" w:ascii="方正仿宋_GBK" w:hAnsi="方正仿宋_GBK" w:eastAsia="方正仿宋_GBK"/>
        </w:rPr>
        <w:t xml:space="preserve">           </w:t>
      </w:r>
      <w:r>
        <w:rPr>
          <w:rFonts w:hint="eastAsia" w:ascii="方正仿宋_GBK" w:hAnsi="方正仿宋_GBK" w:eastAsia="方正仿宋_GBK"/>
        </w:rPr>
        <w:drawing>
          <wp:inline distT="0" distB="0" distL="114300" distR="114300">
            <wp:extent cx="1472565" cy="1468755"/>
            <wp:effectExtent l="0" t="0" r="13335" b="17145"/>
            <wp:docPr id="1" name="图片 1" descr="合作区税务局合规办事业务指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合作区税务局合规办事业务指南"/>
                    <pic:cNvPicPr>
                      <a:picLocks noChangeAspect="1"/>
                    </pic:cNvPicPr>
                  </pic:nvPicPr>
                  <pic:blipFill>
                    <a:blip r:embed="rId36" cstate="print"/>
                    <a:stretch>
                      <a:fillRect/>
                    </a:stretch>
                  </pic:blipFill>
                  <pic:spPr>
                    <a:xfrm>
                      <a:off x="0" y="0"/>
                      <a:ext cx="1472565" cy="1468755"/>
                    </a:xfrm>
                    <a:prstGeom prst="rect">
                      <a:avLst/>
                    </a:prstGeom>
                  </pic:spPr>
                </pic:pic>
              </a:graphicData>
            </a:graphic>
          </wp:inline>
        </w:drawing>
      </w:r>
    </w:p>
    <w:p>
      <w:pPr>
        <w:pStyle w:val="3"/>
        <w:rPr>
          <w:rFonts w:ascii="方正仿宋_GBK" w:hAnsi="方正仿宋_GBK" w:eastAsia="方正仿宋_GBK"/>
        </w:rPr>
      </w:pPr>
      <w:bookmarkStart w:id="7" w:name="_Toc25081"/>
      <w:bookmarkStart w:id="8" w:name="_Toc128733555"/>
      <w:bookmarkStart w:id="9" w:name="_Toc6332"/>
      <w:bookmarkStart w:id="10" w:name="_Toc20018"/>
      <w:bookmarkStart w:id="11" w:name="_Toc21818"/>
      <w:bookmarkStart w:id="12" w:name="_Toc18599"/>
      <w:bookmarkStart w:id="13" w:name="_Toc5658"/>
      <w:bookmarkStart w:id="14" w:name="_Toc24834"/>
      <w:bookmarkStart w:id="15" w:name="_Toc127988696"/>
      <w:bookmarkStart w:id="16" w:name="_Toc24615"/>
      <w:bookmarkStart w:id="17" w:name="_Toc23554"/>
      <w:bookmarkStart w:id="18" w:name="_Toc128733560"/>
      <w:bookmarkStart w:id="19" w:name="_Toc5457"/>
      <w:bookmarkStart w:id="20" w:name="_Toc15400"/>
      <w:bookmarkStart w:id="21" w:name="_Toc3820"/>
      <w:bookmarkStart w:id="22" w:name="_Toc1597"/>
      <w:bookmarkStart w:id="23" w:name="_Toc22649"/>
      <w:bookmarkStart w:id="24" w:name="_Toc13108"/>
      <w:r>
        <w:rPr>
          <w:rFonts w:hint="eastAsia" w:ascii="方正仿宋_GBK" w:hAnsi="方正仿宋_GBK" w:eastAsia="方正仿宋_GBK"/>
        </w:rPr>
        <w:t xml:space="preserve">一、  </w:t>
      </w:r>
      <w:r>
        <w:rPr>
          <w:rFonts w:ascii="方正仿宋_GBK" w:hAnsi="方正仿宋_GBK" w:eastAsia="方正仿宋_GBK"/>
        </w:rPr>
        <w:t>信息报告</w:t>
      </w:r>
      <w:bookmarkEnd w:id="7"/>
      <w:bookmarkEnd w:id="8"/>
      <w:bookmarkEnd w:id="9"/>
    </w:p>
    <w:p>
      <w:pPr>
        <w:pStyle w:val="4"/>
        <w:rPr>
          <w:rFonts w:ascii="方正仿宋_GBK" w:hAnsi="方正仿宋_GBK" w:eastAsia="方正仿宋_GBK"/>
        </w:rPr>
      </w:pPr>
      <w:bookmarkStart w:id="25" w:name="_Toc2744"/>
      <w:r>
        <w:rPr>
          <w:rFonts w:hint="eastAsia" w:ascii="方正仿宋_GBK" w:hAnsi="方正仿宋_GBK" w:eastAsia="方正仿宋_GBK"/>
        </w:rPr>
        <w:t>1.</w:t>
      </w:r>
      <w:r>
        <w:rPr>
          <w:rFonts w:ascii="方正仿宋_GBK" w:hAnsi="方正仿宋_GBK" w:eastAsia="方正仿宋_GBK"/>
        </w:rPr>
        <w:t>一照一码户</w:t>
      </w:r>
      <w:r>
        <w:rPr>
          <w:rFonts w:hint="eastAsia" w:ascii="方正仿宋_GBK" w:hAnsi="方正仿宋_GBK" w:eastAsia="方正仿宋_GBK"/>
        </w:rPr>
        <w:t>/</w:t>
      </w:r>
      <w:r>
        <w:rPr>
          <w:rFonts w:ascii="方正仿宋_GBK" w:hAnsi="方正仿宋_GBK" w:eastAsia="方正仿宋_GBK"/>
        </w:rPr>
        <w:t>个体工商户信息确认</w:t>
      </w:r>
      <w:bookmarkEnd w:id="10"/>
      <w:bookmarkEnd w:id="11"/>
      <w:bookmarkEnd w:id="12"/>
      <w:bookmarkEnd w:id="13"/>
      <w:bookmarkEnd w:id="14"/>
      <w:bookmarkEnd w:id="15"/>
      <w:bookmarkEnd w:id="16"/>
      <w:bookmarkEnd w:id="2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纳税人已实行“多证合一、一照一码”登记模式的，首次办理涉税事宜时，对市场监督管理等部门共享信息进行确认。</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无</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rPr>
      </w:pPr>
      <w:r>
        <w:rPr>
          <w:rFonts w:ascii="方正仿宋_GBK" w:hAnsi="方正仿宋_GBK" w:eastAsia="方正仿宋_GBK"/>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bookmarkStart w:id="26" w:name="_Toc127988705"/>
      <w:bookmarkStart w:id="27" w:name="_Toc20045"/>
      <w:bookmarkStart w:id="28" w:name="_Toc9547"/>
      <w:bookmarkStart w:id="29" w:name="_Toc11649"/>
      <w:bookmarkStart w:id="30" w:name="_Toc20158"/>
      <w:bookmarkStart w:id="31" w:name="_Toc11903"/>
      <w:bookmarkStart w:id="32" w:name="_Toc24338"/>
      <w:bookmarkStart w:id="33" w:name="_Toc10989"/>
      <w:r>
        <w:rPr>
          <w:rFonts w:hint="eastAsia" w:ascii="方正仿宋_GBK" w:hAnsi="方正仿宋_GBK" w:eastAsia="方正仿宋_GBK"/>
        </w:rPr>
        <w:t>2.</w:t>
      </w:r>
      <w:r>
        <w:rPr>
          <w:rFonts w:ascii="方正仿宋_GBK" w:hAnsi="方正仿宋_GBK" w:eastAsia="方正仿宋_GBK"/>
        </w:rPr>
        <w:t>存款账户账号报告</w:t>
      </w:r>
      <w:bookmarkEnd w:id="26"/>
      <w:bookmarkEnd w:id="27"/>
      <w:bookmarkEnd w:id="28"/>
      <w:bookmarkEnd w:id="29"/>
      <w:bookmarkEnd w:id="30"/>
      <w:bookmarkEnd w:id="31"/>
      <w:bookmarkEnd w:id="32"/>
      <w:bookmarkEnd w:id="3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纳税人应当自开立基本存款账户或者其他存款账户之日起14日内，向主管税务机关报告其全部账号；发生变化的，应当自变化之日起14日内，向主管税务机关报告。</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①《纳税人存款账户账号报告表》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②账户、账号开立证明复印件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bookmarkStart w:id="34" w:name="_Toc127988706"/>
      <w:bookmarkStart w:id="35" w:name="_Toc20180"/>
      <w:bookmarkStart w:id="36" w:name="_Toc14635"/>
      <w:bookmarkStart w:id="37" w:name="_Toc12281"/>
      <w:bookmarkStart w:id="38" w:name="_Toc17527"/>
      <w:bookmarkStart w:id="39" w:name="_Toc2260"/>
      <w:bookmarkStart w:id="40" w:name="_Toc25460"/>
      <w:bookmarkStart w:id="41" w:name="_Toc6510"/>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3.</w:t>
      </w:r>
      <w:r>
        <w:rPr>
          <w:rFonts w:ascii="方正仿宋_GBK" w:hAnsi="方正仿宋_GBK" w:eastAsia="方正仿宋_GBK"/>
        </w:rPr>
        <w:t>财务会计制度及核算软件备案报告</w:t>
      </w:r>
      <w:bookmarkEnd w:id="34"/>
      <w:bookmarkEnd w:id="35"/>
      <w:bookmarkEnd w:id="36"/>
      <w:bookmarkEnd w:id="37"/>
      <w:bookmarkEnd w:id="38"/>
      <w:bookmarkEnd w:id="39"/>
      <w:bookmarkEnd w:id="40"/>
      <w:bookmarkEnd w:id="41"/>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纳税人的财务、会计制度或者财务、会计处理办法和会计核算软件，应当报送税务机关备案。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《财务会计制度及核算软件备案报告书》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②</w:t>
      </w:r>
      <w:r>
        <w:rPr>
          <w:rFonts w:hint="eastAsia" w:ascii="方正仿宋_GBK" w:hAnsi="方正仿宋_GBK" w:eastAsia="方正仿宋_GBK" w:cs="宋体"/>
          <w:sz w:val="24"/>
        </w:rPr>
        <w:t>纳税人财务、会计制度或纳税人财务、会计核算办法</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Calibri"/>
          <w:sz w:val="24"/>
        </w:rPr>
        <w:t>如</w:t>
      </w:r>
      <w:r>
        <w:rPr>
          <w:rFonts w:hint="eastAsia" w:ascii="方正仿宋_GBK" w:hAnsi="方正仿宋_GBK" w:eastAsia="方正仿宋_GBK" w:cs="宋体"/>
          <w:sz w:val="24"/>
        </w:rPr>
        <w:t>使用计算机记账的纳税人，还需提供财务会计核算软件、使用说明书复印件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42" w:name="_Toc4456"/>
      <w:bookmarkStart w:id="43" w:name="_Toc28961"/>
      <w:bookmarkStart w:id="44" w:name="_Toc8308"/>
      <w:bookmarkStart w:id="45" w:name="_Toc20918"/>
      <w:bookmarkStart w:id="46" w:name="_Toc27298"/>
      <w:bookmarkStart w:id="47" w:name="_Toc15681"/>
      <w:bookmarkStart w:id="48" w:name="_Toc127988707"/>
      <w:bookmarkStart w:id="49" w:name="_Toc21713"/>
      <w:r>
        <w:rPr>
          <w:rFonts w:hint="eastAsia" w:ascii="方正仿宋_GBK" w:hAnsi="方正仿宋_GBK" w:eastAsia="方正仿宋_GBK" w:cs="黑体"/>
          <w:b/>
          <w:bCs/>
          <w:sz w:val="24"/>
        </w:rPr>
        <w:t>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4.</w:t>
      </w:r>
      <w:r>
        <w:rPr>
          <w:rFonts w:ascii="方正仿宋_GBK" w:hAnsi="方正仿宋_GBK" w:eastAsia="方正仿宋_GBK"/>
        </w:rPr>
        <w:t>银税三方（委托）划缴协议</w:t>
      </w:r>
      <w:bookmarkEnd w:id="42"/>
      <w:bookmarkEnd w:id="43"/>
      <w:bookmarkEnd w:id="44"/>
      <w:bookmarkEnd w:id="45"/>
      <w:bookmarkEnd w:id="46"/>
      <w:bookmarkEnd w:id="47"/>
      <w:bookmarkEnd w:id="48"/>
      <w:bookmarkEnd w:id="49"/>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纳税人需要使用电子缴税系统缴纳税费的，可以与税务机关、开户银行签署委托银行代缴税款三方协议或委托划转税款协议，实现使用电子缴税系统缴纳税费、滞纳金和罚款。</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《委托银行代缴税款三方协议（委托划转税款协议书）》</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bookmarkStart w:id="50" w:name="_Toc26654"/>
      <w:bookmarkStart w:id="51" w:name="_Toc13092"/>
      <w:bookmarkStart w:id="52" w:name="_Toc27810"/>
      <w:bookmarkStart w:id="53" w:name="_Toc9694"/>
      <w:bookmarkStart w:id="54" w:name="_Toc15903"/>
      <w:bookmarkStart w:id="55" w:name="_Toc3750"/>
      <w:bookmarkStart w:id="56" w:name="_Toc127988713"/>
      <w:bookmarkStart w:id="57" w:name="_Toc21685"/>
      <w:r>
        <w:rPr>
          <w:rFonts w:hint="eastAsia" w:ascii="方正仿宋_GBK" w:hAnsi="方正仿宋_GBK" w:eastAsia="方正仿宋_GBK"/>
        </w:rPr>
        <w:t>5.</w:t>
      </w:r>
      <w:r>
        <w:rPr>
          <w:rFonts w:ascii="方正仿宋_GBK" w:hAnsi="方正仿宋_GBK" w:eastAsia="方正仿宋_GBK"/>
        </w:rPr>
        <w:t>增值税一般纳税人登记</w:t>
      </w:r>
      <w:bookmarkEnd w:id="50"/>
      <w:bookmarkEnd w:id="51"/>
      <w:bookmarkEnd w:id="52"/>
      <w:bookmarkEnd w:id="53"/>
      <w:bookmarkEnd w:id="54"/>
      <w:bookmarkEnd w:id="55"/>
      <w:bookmarkEnd w:id="56"/>
      <w:bookmarkEnd w:id="57"/>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增值税</w:t>
      </w:r>
      <w:r>
        <w:rPr>
          <w:rFonts w:ascii="方正仿宋_GBK" w:hAnsi="方正仿宋_GBK" w:eastAsia="方正仿宋_GBK" w:cs="宋体"/>
          <w:sz w:val="24"/>
        </w:rPr>
        <w:t>年应税销售额超过财政部、国家税务总局规定的小规模纳税人标准，或虽未超过标准但会计核算健全、能够提供准确税务资料。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《增值税一般纳税人登记表》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加载统一社会信用代码的营业执照（或税务登记证、组织机构代码证等）原件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bookmarkStart w:id="58" w:name="_Toc15237"/>
      <w:bookmarkStart w:id="59" w:name="_Toc26107"/>
      <w:bookmarkStart w:id="60" w:name="_Toc19046"/>
      <w:bookmarkStart w:id="61" w:name="_Toc12049"/>
      <w:bookmarkStart w:id="62" w:name="_Toc15164"/>
      <w:bookmarkStart w:id="63" w:name="_Toc10370"/>
      <w:bookmarkStart w:id="64" w:name="_Toc10744"/>
      <w:bookmarkStart w:id="65" w:name="_Toc128733556"/>
      <w:r>
        <w:rPr>
          <w:rFonts w:hint="eastAsia" w:ascii="方正仿宋_GBK" w:hAnsi="方正仿宋_GBK" w:eastAsia="方正仿宋_GBK"/>
        </w:rPr>
        <w:t>二、 发票</w:t>
      </w:r>
      <w:bookmarkEnd w:id="58"/>
      <w:bookmarkEnd w:id="59"/>
      <w:bookmarkEnd w:id="60"/>
      <w:bookmarkEnd w:id="61"/>
      <w:bookmarkEnd w:id="62"/>
      <w:bookmarkEnd w:id="63"/>
      <w:bookmarkEnd w:id="64"/>
      <w:r>
        <w:rPr>
          <w:rFonts w:hint="eastAsia" w:ascii="方正仿宋_GBK" w:hAnsi="方正仿宋_GBK" w:eastAsia="方正仿宋_GBK"/>
        </w:rPr>
        <w:t>业务</w:t>
      </w:r>
      <w:bookmarkEnd w:id="65"/>
    </w:p>
    <w:p>
      <w:pPr>
        <w:pStyle w:val="4"/>
        <w:rPr>
          <w:rFonts w:ascii="方正仿宋_GBK" w:hAnsi="方正仿宋_GBK" w:eastAsia="方正仿宋_GBK"/>
        </w:rPr>
      </w:pPr>
      <w:bookmarkStart w:id="66" w:name="_Toc4817"/>
      <w:bookmarkStart w:id="67" w:name="_Toc6734"/>
      <w:bookmarkStart w:id="68" w:name="_Toc5836"/>
      <w:bookmarkStart w:id="69" w:name="_Toc12622"/>
      <w:bookmarkStart w:id="70" w:name="_Toc8943"/>
      <w:bookmarkStart w:id="71" w:name="_Toc14395"/>
      <w:bookmarkStart w:id="72" w:name="_Toc16203"/>
      <w:r>
        <w:rPr>
          <w:rFonts w:hint="eastAsia" w:ascii="方正仿宋_GBK" w:hAnsi="方正仿宋_GBK" w:eastAsia="方正仿宋_GBK"/>
        </w:rPr>
        <w:t>6.增值税专用发票（增值税税控系统）最高开票限额审批</w:t>
      </w:r>
      <w:bookmarkEnd w:id="66"/>
      <w:bookmarkEnd w:id="67"/>
      <w:bookmarkEnd w:id="68"/>
      <w:bookmarkEnd w:id="69"/>
      <w:bookmarkEnd w:id="70"/>
      <w:bookmarkEnd w:id="71"/>
      <w:bookmarkEnd w:id="72"/>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宋体"/>
          <w:sz w:val="24"/>
        </w:rPr>
        <w:t>纳税人在初次申请使用增值税专用发票以及变更增值税专用发票限额时，向主管税务机关申请办理增值税专用发票（增值税税控系统）最高开票限额审批。</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6.1  需提供要件</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①</w:t>
      </w:r>
      <w:r>
        <w:rPr>
          <w:rFonts w:hint="eastAsia" w:ascii="方正仿宋_GBK" w:hAnsi="方正仿宋_GBK" w:eastAsia="方正仿宋_GBK" w:cs="黑体"/>
          <w:sz w:val="24"/>
        </w:rPr>
        <w:t>《税务行政许可申请表》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②</w:t>
      </w:r>
      <w:r>
        <w:rPr>
          <w:rFonts w:hint="eastAsia" w:ascii="方正仿宋_GBK" w:hAnsi="方正仿宋_GBK" w:eastAsia="方正仿宋_GBK" w:cs="黑体"/>
          <w:sz w:val="24"/>
        </w:rPr>
        <w:t>《增值税专用发票最高开票限额申请单》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firstLineChars="200"/>
        <w:rPr>
          <w:rFonts w:ascii="方正仿宋_GBK" w:hAnsi="方正仿宋_GBK" w:eastAsia="方正仿宋_GBK" w:cs="黑体"/>
          <w:sz w:val="24"/>
        </w:rPr>
      </w:pPr>
      <w:r>
        <w:rPr>
          <w:rFonts w:ascii="方正仿宋_GBK" w:hAnsi="方正仿宋_GBK" w:eastAsia="方正仿宋_GBK" w:cs="Calibri"/>
          <w:sz w:val="24"/>
        </w:rPr>
        <w:t>③</w:t>
      </w:r>
      <w:r>
        <w:rPr>
          <w:rFonts w:hint="eastAsia" w:ascii="方正仿宋_GBK" w:hAnsi="方正仿宋_GBK" w:eastAsia="方正仿宋_GBK" w:cs="黑体"/>
          <w:sz w:val="24"/>
        </w:rPr>
        <w:t>委托代理人提出申请的，还需提供代理委托书和代理人身份证件原件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黑体"/>
          <w:b/>
          <w:bCs/>
          <w:sz w:val="24"/>
        </w:rPr>
        <w:t>6.3  办理时限：</w:t>
      </w:r>
      <w:r>
        <w:rPr>
          <w:rFonts w:hint="eastAsia" w:ascii="方正仿宋_GBK" w:hAnsi="方正仿宋_GBK" w:eastAsia="方正仿宋_GBK" w:cs="宋体"/>
          <w:sz w:val="24"/>
        </w:rPr>
        <w:t>十万元及以下，即时办结；百万元及以上，8个工作日。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bookmarkStart w:id="73" w:name="_Toc9074"/>
      <w:bookmarkStart w:id="74" w:name="_Toc20518"/>
      <w:bookmarkStart w:id="75" w:name="_Toc3855"/>
      <w:bookmarkStart w:id="76" w:name="_Toc24725"/>
      <w:bookmarkStart w:id="77" w:name="_Toc11107"/>
      <w:bookmarkStart w:id="78" w:name="_Toc28630"/>
      <w:bookmarkStart w:id="79" w:name="_Toc22604"/>
      <w:r>
        <w:rPr>
          <w:rFonts w:hint="eastAsia" w:ascii="方正仿宋_GBK" w:hAnsi="方正仿宋_GBK" w:eastAsia="方正仿宋_GBK"/>
        </w:rPr>
        <w:t>7.发票领用</w:t>
      </w:r>
      <w:bookmarkEnd w:id="73"/>
      <w:bookmarkEnd w:id="74"/>
      <w:bookmarkEnd w:id="75"/>
      <w:bookmarkEnd w:id="76"/>
      <w:bookmarkEnd w:id="77"/>
      <w:bookmarkEnd w:id="78"/>
      <w:bookmarkEnd w:id="79"/>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纳税人在发票票种核定的范围(发票的种类、领用数量、开票限额)内领用发票。</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经办人身份证件原件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0" w:name="_Toc27509"/>
      <w:bookmarkStart w:id="81" w:name="_Toc11761"/>
      <w:bookmarkStart w:id="82" w:name="_Toc28155"/>
      <w:bookmarkStart w:id="83" w:name="_Toc17301"/>
      <w:bookmarkStart w:id="84" w:name="_Toc30634"/>
      <w:bookmarkStart w:id="85" w:name="_Toc28204"/>
      <w:bookmarkStart w:id="86" w:name="_Toc26606"/>
      <w:bookmarkStart w:id="87" w:name="_Toc127988667"/>
      <w:r>
        <w:rPr>
          <w:rFonts w:hint="eastAsia" w:ascii="方正仿宋_GBK" w:hAnsi="方正仿宋_GBK" w:eastAsia="方正仿宋_GBK" w:cs="黑体"/>
          <w:b/>
          <w:bCs/>
          <w:sz w:val="24"/>
        </w:rPr>
        <w:t>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8.代开增值税专用发票</w:t>
      </w:r>
      <w:bookmarkEnd w:id="80"/>
      <w:bookmarkEnd w:id="81"/>
      <w:bookmarkEnd w:id="82"/>
      <w:bookmarkEnd w:id="83"/>
      <w:bookmarkEnd w:id="84"/>
      <w:bookmarkEnd w:id="85"/>
      <w:bookmarkEnd w:id="86"/>
      <w:bookmarkEnd w:id="87"/>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 xml:space="preserve">纳税人发生增值税应税行为，符合代开增值税专用发票的条件，可向主管税务机关申请代开。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88" w:name="_Toc409"/>
      <w:bookmarkStart w:id="89" w:name="_Toc23604"/>
      <w:bookmarkStart w:id="90" w:name="_Toc127988668"/>
      <w:bookmarkStart w:id="91" w:name="_Toc21873"/>
      <w:bookmarkStart w:id="92" w:name="_Toc3056"/>
      <w:bookmarkStart w:id="93" w:name="_Toc20754"/>
      <w:bookmarkStart w:id="94" w:name="_Toc12111"/>
      <w:bookmarkStart w:id="95" w:name="_Toc24949"/>
      <w:r>
        <w:rPr>
          <w:rFonts w:hint="eastAsia" w:ascii="方正仿宋_GBK" w:hAnsi="方正仿宋_GBK" w:eastAsia="方正仿宋_GBK" w:cs="黑体"/>
          <w:b/>
          <w:bCs/>
          <w:sz w:val="24"/>
        </w:rPr>
        <w:t>8.2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9.代开增值税普通发票</w:t>
      </w:r>
      <w:bookmarkEnd w:id="88"/>
      <w:bookmarkEnd w:id="89"/>
      <w:bookmarkEnd w:id="90"/>
      <w:bookmarkEnd w:id="91"/>
      <w:bookmarkEnd w:id="92"/>
      <w:bookmarkEnd w:id="93"/>
      <w:bookmarkEnd w:id="94"/>
      <w:bookmarkEnd w:id="9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《代开增值税发票缴纳税款申报单》</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rPr>
        <w:t>纳税人出租不动产、转让取得的不动产，还需提供不动产权属资料原件及复印件和不动产合同、协议或者税务机关认可的其他资料原件及复印件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96" w:name="_Toc6072"/>
      <w:bookmarkStart w:id="97" w:name="_Toc26459"/>
      <w:bookmarkStart w:id="98" w:name="_Toc30854"/>
      <w:bookmarkStart w:id="99" w:name="_Toc16463"/>
      <w:bookmarkStart w:id="100" w:name="_Toc26801"/>
      <w:bookmarkStart w:id="101" w:name="_Toc128733557"/>
      <w:bookmarkStart w:id="102" w:name="_Toc12812"/>
      <w:bookmarkStart w:id="103" w:name="_Toc7701"/>
      <w:r>
        <w:rPr>
          <w:rFonts w:hint="eastAsia" w:ascii="方正仿宋_GBK" w:hAnsi="方正仿宋_GBK" w:eastAsia="方正仿宋_GBK" w:cs="黑体"/>
          <w:b/>
          <w:bCs/>
          <w:sz w:val="24"/>
        </w:rPr>
        <w:t>9.2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r>
        <w:rPr>
          <w:rFonts w:hint="eastAsia" w:ascii="方正仿宋_GBK" w:hAnsi="方正仿宋_GBK" w:eastAsia="方正仿宋_GBK"/>
        </w:rPr>
        <w:t>三、 申报纳税</w:t>
      </w:r>
      <w:bookmarkEnd w:id="96"/>
      <w:bookmarkEnd w:id="97"/>
      <w:bookmarkEnd w:id="98"/>
      <w:bookmarkEnd w:id="99"/>
      <w:bookmarkEnd w:id="100"/>
      <w:bookmarkEnd w:id="101"/>
      <w:bookmarkEnd w:id="102"/>
      <w:bookmarkEnd w:id="103"/>
      <w:bookmarkStart w:id="104" w:name="_Toc43160461"/>
      <w:bookmarkStart w:id="105" w:name="_Toc43160462"/>
      <w:bookmarkStart w:id="106" w:name="_Toc127988714"/>
    </w:p>
    <w:p>
      <w:pPr>
        <w:pStyle w:val="4"/>
        <w:rPr>
          <w:rFonts w:ascii="方正仿宋_GBK" w:hAnsi="方正仿宋_GBK" w:eastAsia="方正仿宋_GBK"/>
        </w:rPr>
      </w:pPr>
      <w:bookmarkStart w:id="107" w:name="_Toc3873"/>
      <w:bookmarkStart w:id="108" w:name="_Toc1826"/>
      <w:bookmarkStart w:id="109" w:name="_Toc31439"/>
      <w:bookmarkStart w:id="110" w:name="_Toc25288"/>
      <w:bookmarkStart w:id="111" w:name="_Toc23709"/>
      <w:bookmarkStart w:id="112" w:name="_Toc29705"/>
      <w:bookmarkStart w:id="113" w:name="_Toc17685"/>
      <w:r>
        <w:rPr>
          <w:rFonts w:hint="eastAsia" w:ascii="方正仿宋_GBK" w:hAnsi="方正仿宋_GBK" w:eastAsia="方正仿宋_GBK"/>
        </w:rPr>
        <w:t>10.</w:t>
      </w:r>
      <w:r>
        <w:rPr>
          <w:rFonts w:ascii="方正仿宋_GBK" w:hAnsi="方正仿宋_GBK" w:eastAsia="方正仿宋_GBK"/>
        </w:rPr>
        <w:t>增值税一般纳税人申报</w:t>
      </w:r>
      <w:bookmarkEnd w:id="104"/>
      <w:bookmarkEnd w:id="107"/>
      <w:bookmarkEnd w:id="108"/>
      <w:bookmarkEnd w:id="109"/>
      <w:bookmarkEnd w:id="110"/>
      <w:bookmarkEnd w:id="111"/>
      <w:bookmarkEnd w:id="112"/>
      <w:bookmarkEnd w:id="11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纳税人为增值税一般纳税人的，在规定的纳税期限内填报《增值税及附加税费申报表（一般纳税人适用）》、附列资料及其他相关资料，向税务机关进行纳税申报。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《增值税及附加税费申报表（一般纳税人适用）》及其附列资料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bookmarkStart w:id="114" w:name="_Toc10064"/>
      <w:bookmarkStart w:id="115" w:name="_Toc6866"/>
      <w:bookmarkStart w:id="116" w:name="_Toc4199"/>
      <w:bookmarkStart w:id="117" w:name="_Toc21204"/>
      <w:bookmarkStart w:id="118" w:name="_Toc20773"/>
      <w:bookmarkStart w:id="119" w:name="_Toc6682"/>
      <w:bookmarkStart w:id="120" w:name="_Toc21106"/>
      <w:r>
        <w:rPr>
          <w:rFonts w:hint="eastAsia" w:ascii="方正仿宋_GBK" w:hAnsi="方正仿宋_GBK" w:eastAsia="方正仿宋_GBK" w:cs="黑体"/>
          <w:b/>
          <w:bCs/>
          <w:sz w:val="24"/>
        </w:rPr>
        <w:t>10.2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10.4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11.增值税小规模纳税人申报</w:t>
      </w:r>
      <w:bookmarkEnd w:id="105"/>
      <w:bookmarkEnd w:id="106"/>
      <w:bookmarkEnd w:id="114"/>
      <w:bookmarkEnd w:id="115"/>
      <w:bookmarkEnd w:id="116"/>
      <w:bookmarkEnd w:id="117"/>
      <w:bookmarkEnd w:id="118"/>
      <w:bookmarkEnd w:id="119"/>
      <w:bookmarkEnd w:id="12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是</w:t>
      </w:r>
      <w:r>
        <w:rPr>
          <w:rFonts w:ascii="方正仿宋_GBK" w:hAnsi="方正仿宋_GBK" w:eastAsia="方正仿宋_GBK" w:cs="宋体"/>
          <w:sz w:val="24"/>
        </w:rPr>
        <w:t>增值税小规模纳税人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《增值税及附加税费申报表（小规模纳税人适用）》</w:t>
      </w:r>
      <w:r>
        <w:rPr>
          <w:rFonts w:ascii="方正仿宋_GBK" w:hAnsi="方正仿宋_GBK" w:eastAsia="方正仿宋_GBK" w:cs="宋体"/>
          <w:sz w:val="24"/>
        </w:rPr>
        <w:t>、附列资料和其他相关资料，向税务机关进行纳税申报。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11.1  需提供要件</w:t>
      </w:r>
    </w:p>
    <w:p>
      <w:pPr>
        <w:spacing w:line="360" w:lineRule="auto"/>
        <w:ind w:firstLine="480"/>
        <w:rPr>
          <w:rFonts w:ascii="方正仿宋_GBK" w:hAnsi="方正仿宋_GBK" w:eastAsia="方正仿宋_GBK" w:cs="黑体"/>
          <w:sz w:val="24"/>
        </w:rPr>
      </w:pPr>
      <w:r>
        <w:rPr>
          <w:rFonts w:hint="eastAsia" w:ascii="方正仿宋_GBK" w:hAnsi="方正仿宋_GBK" w:eastAsia="方正仿宋_GBK" w:cs="宋体"/>
          <w:sz w:val="24"/>
        </w:rPr>
        <w:t>《增值税及附加税费申报表（小规模纳税人适用）》及其附列资料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11.2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bookmarkStart w:id="121" w:name="_Toc15720"/>
      <w:bookmarkStart w:id="122" w:name="_Toc28856"/>
      <w:bookmarkStart w:id="123" w:name="_Toc3026"/>
      <w:bookmarkStart w:id="124" w:name="_Toc27639"/>
      <w:bookmarkStart w:id="125" w:name="_Toc21826"/>
      <w:bookmarkStart w:id="126" w:name="_Toc28401"/>
      <w:bookmarkStart w:id="127" w:name="_Toc43160468"/>
      <w:bookmarkStart w:id="128" w:name="_Toc127988720"/>
      <w:bookmarkStart w:id="129" w:name="_Toc13530"/>
    </w:p>
    <w:bookmarkEnd w:id="121"/>
    <w:bookmarkEnd w:id="122"/>
    <w:bookmarkEnd w:id="123"/>
    <w:bookmarkEnd w:id="124"/>
    <w:bookmarkEnd w:id="125"/>
    <w:bookmarkEnd w:id="126"/>
    <w:bookmarkEnd w:id="127"/>
    <w:bookmarkEnd w:id="128"/>
    <w:bookmarkEnd w:id="129"/>
    <w:p>
      <w:pPr>
        <w:spacing w:line="360" w:lineRule="auto"/>
        <w:ind w:firstLine="480"/>
        <w:rPr>
          <w:rFonts w:ascii="方正仿宋_GBK" w:hAnsi="方正仿宋_GBK" w:eastAsia="方正仿宋_GBK" w:cs="宋体"/>
          <w:sz w:val="24"/>
        </w:rPr>
      </w:pPr>
    </w:p>
    <w:p>
      <w:pPr>
        <w:pStyle w:val="4"/>
        <w:rPr>
          <w:rFonts w:ascii="方正仿宋_GBK" w:hAnsi="方正仿宋_GBK" w:eastAsia="方正仿宋_GBK"/>
        </w:rPr>
      </w:pPr>
      <w:bookmarkStart w:id="130" w:name="_Toc132"/>
      <w:bookmarkStart w:id="131" w:name="_Toc127988725"/>
      <w:bookmarkStart w:id="132" w:name="_Toc23364"/>
      <w:bookmarkStart w:id="133" w:name="_Toc43160473"/>
      <w:bookmarkStart w:id="134" w:name="_Toc9843"/>
      <w:bookmarkStart w:id="135" w:name="_Toc13427"/>
      <w:bookmarkStart w:id="136" w:name="_Toc14940"/>
      <w:bookmarkStart w:id="137" w:name="_Toc11943"/>
      <w:bookmarkStart w:id="138" w:name="_Toc20733"/>
      <w:r>
        <w:rPr>
          <w:rFonts w:hint="eastAsia" w:ascii="方正仿宋_GBK" w:hAnsi="方正仿宋_GBK" w:eastAsia="方正仿宋_GBK"/>
        </w:rPr>
        <w:t>12.居民企业（查账征收）企业所得税年度申报</w:t>
      </w:r>
      <w:bookmarkEnd w:id="130"/>
      <w:bookmarkEnd w:id="131"/>
      <w:bookmarkEnd w:id="132"/>
      <w:bookmarkEnd w:id="133"/>
      <w:bookmarkEnd w:id="134"/>
      <w:bookmarkEnd w:id="135"/>
      <w:bookmarkEnd w:id="136"/>
      <w:bookmarkEnd w:id="137"/>
      <w:bookmarkEnd w:id="138"/>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w:t>
      </w:r>
      <w:r>
        <w:rPr>
          <w:rFonts w:ascii="方正仿宋_GBK" w:hAnsi="方正仿宋_GBK" w:eastAsia="方正仿宋_GBK" w:cs="宋体"/>
          <w:sz w:val="24"/>
        </w:rPr>
        <w:t>实行查账征收方式申报企业所得税的居民企业</w:t>
      </w:r>
      <w:r>
        <w:rPr>
          <w:rFonts w:hint="eastAsia" w:ascii="方正仿宋_GBK" w:hAnsi="方正仿宋_GBK" w:eastAsia="方正仿宋_GBK" w:cs="宋体"/>
          <w:sz w:val="24"/>
        </w:rPr>
        <w:t>，</w:t>
      </w:r>
      <w:r>
        <w:rPr>
          <w:rFonts w:ascii="方正仿宋_GBK" w:hAnsi="方正仿宋_GBK" w:eastAsia="方正仿宋_GBK" w:cs="宋体"/>
          <w:sz w:val="24"/>
        </w:rPr>
        <w:t>在纳税年度终了之日起5个月内，</w:t>
      </w:r>
      <w:r>
        <w:rPr>
          <w:rFonts w:hint="eastAsia" w:ascii="方正仿宋_GBK" w:hAnsi="方正仿宋_GBK" w:eastAsia="方正仿宋_GBK" w:cs="宋体"/>
          <w:sz w:val="24"/>
        </w:rPr>
        <w:t>或</w:t>
      </w:r>
      <w:r>
        <w:rPr>
          <w:rFonts w:ascii="方正仿宋_GBK" w:hAnsi="方正仿宋_GBK" w:eastAsia="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《中华人民共和国企业所得税年度纳税申报表（A类）》及相关资料</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12.2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bookmarkStart w:id="139" w:name="_Toc133"/>
      <w:bookmarkStart w:id="140" w:name="_Toc4018"/>
      <w:bookmarkStart w:id="141" w:name="_Toc13170"/>
      <w:bookmarkStart w:id="142" w:name="_Toc11788"/>
      <w:bookmarkStart w:id="143" w:name="_Toc20845"/>
      <w:bookmarkStart w:id="144" w:name="_Toc18733"/>
      <w:bookmarkStart w:id="145" w:name="_Toc22459"/>
      <w:r>
        <w:rPr>
          <w:rFonts w:hint="eastAsia" w:ascii="方正仿宋_GBK" w:hAnsi="方正仿宋_GBK" w:eastAsia="方正仿宋_GBK"/>
        </w:rPr>
        <w:t>13.</w:t>
      </w:r>
      <w:r>
        <w:rPr>
          <w:rFonts w:ascii="方正仿宋_GBK" w:hAnsi="方正仿宋_GBK" w:eastAsia="方正仿宋_GBK"/>
        </w:rPr>
        <w:t>房产税申报</w:t>
      </w:r>
      <w:bookmarkEnd w:id="139"/>
      <w:bookmarkEnd w:id="140"/>
      <w:bookmarkEnd w:id="141"/>
      <w:bookmarkEnd w:id="142"/>
      <w:bookmarkEnd w:id="143"/>
      <w:bookmarkEnd w:id="144"/>
      <w:bookmarkEnd w:id="145"/>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纳税人为房屋</w:t>
      </w:r>
      <w:r>
        <w:rPr>
          <w:rFonts w:ascii="方正仿宋_GBK" w:hAnsi="方正仿宋_GBK" w:eastAsia="方正仿宋_GBK" w:cs="宋体"/>
          <w:sz w:val="24"/>
        </w:rPr>
        <w:t>产权所有人、经营管理单位、承典人、房产代管人或者使用人</w:t>
      </w:r>
      <w:r>
        <w:rPr>
          <w:rFonts w:hint="eastAsia" w:ascii="方正仿宋_GBK" w:hAnsi="方正仿宋_GBK" w:eastAsia="方正仿宋_GBK" w:cs="宋体"/>
          <w:sz w:val="24"/>
        </w:rPr>
        <w:t>的</w:t>
      </w:r>
      <w:r>
        <w:rPr>
          <w:rFonts w:ascii="方正仿宋_GBK" w:hAnsi="方正仿宋_GBK" w:eastAsia="方正仿宋_GBK" w:cs="宋体"/>
          <w:sz w:val="24"/>
        </w:rPr>
        <w:t>，在规定的纳税期限内，填报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等相关资料向税务机关进行纳税申报。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13.2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bookmarkStart w:id="146" w:name="_Toc43160479"/>
      <w:bookmarkStart w:id="147" w:name="_Toc8195"/>
      <w:bookmarkStart w:id="148" w:name="_Toc22782"/>
      <w:bookmarkStart w:id="149" w:name="_Toc30762"/>
      <w:bookmarkStart w:id="150" w:name="_Toc19133"/>
      <w:bookmarkStart w:id="151" w:name="_Toc22516"/>
      <w:bookmarkStart w:id="152" w:name="_Toc12300"/>
      <w:bookmarkStart w:id="153" w:name="_Toc26990"/>
      <w:bookmarkStart w:id="154" w:name="_Toc127988731"/>
      <w:r>
        <w:rPr>
          <w:rFonts w:hint="eastAsia" w:ascii="方正仿宋_GBK" w:hAnsi="方正仿宋_GBK" w:eastAsia="方正仿宋_GBK"/>
        </w:rPr>
        <w:t>14.</w:t>
      </w:r>
      <w:r>
        <w:rPr>
          <w:rFonts w:ascii="方正仿宋_GBK" w:hAnsi="方正仿宋_GBK" w:eastAsia="方正仿宋_GBK"/>
        </w:rPr>
        <w:t>城镇土地使用税申报</w:t>
      </w:r>
      <w:bookmarkEnd w:id="146"/>
      <w:bookmarkEnd w:id="147"/>
      <w:bookmarkEnd w:id="148"/>
      <w:bookmarkEnd w:id="149"/>
      <w:bookmarkEnd w:id="150"/>
      <w:bookmarkEnd w:id="151"/>
      <w:bookmarkEnd w:id="152"/>
      <w:bookmarkEnd w:id="153"/>
      <w:bookmarkEnd w:id="154"/>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在城市、县城、建制镇、工矿区范围内使用土地的，在规定的纳税期限内，</w:t>
      </w:r>
      <w:r>
        <w:rPr>
          <w:rFonts w:hint="eastAsia" w:ascii="方正仿宋_GBK" w:hAnsi="方正仿宋_GBK" w:eastAsia="方正仿宋_GBK" w:cs="宋体"/>
          <w:sz w:val="24"/>
        </w:rPr>
        <w:t>需</w:t>
      </w:r>
      <w:r>
        <w:rPr>
          <w:rFonts w:ascii="方正仿宋_GBK" w:hAnsi="方正仿宋_GBK" w:eastAsia="方正仿宋_GBK" w:cs="宋体"/>
          <w:sz w:val="24"/>
        </w:rPr>
        <w:t>填报</w:t>
      </w:r>
      <w:r>
        <w:rPr>
          <w:rFonts w:hint="eastAsia" w:ascii="方正仿宋_GBK" w:hAnsi="方正仿宋_GBK" w:eastAsia="方正仿宋_GBK" w:cs="宋体"/>
          <w:sz w:val="24"/>
        </w:rPr>
        <w:t>《财产和行为税纳税申报表》</w:t>
      </w:r>
      <w:r>
        <w:rPr>
          <w:rFonts w:ascii="方正仿宋_GBK" w:hAnsi="方正仿宋_GBK" w:eastAsia="方正仿宋_GBK" w:cs="宋体"/>
          <w:sz w:val="24"/>
        </w:rPr>
        <w:t>及相关资料，向税务机关进行纳税申报缴纳城镇土地使用税。</w:t>
      </w:r>
    </w:p>
    <w:p>
      <w:pPr>
        <w:spacing w:line="360" w:lineRule="auto"/>
        <w:ind w:firstLine="480"/>
        <w:rPr>
          <w:rFonts w:ascii="方正仿宋_GBK" w:hAnsi="方正仿宋_GBK" w:eastAsia="方正仿宋_GBK" w:cs="宋体"/>
          <w:sz w:val="24"/>
        </w:rPr>
      </w:pPr>
      <w:bookmarkStart w:id="155" w:name="_Toc24734"/>
      <w:bookmarkStart w:id="156" w:name="_Toc7499"/>
      <w:bookmarkStart w:id="157" w:name="_Toc127988742"/>
      <w:bookmarkStart w:id="158" w:name="_Toc25702"/>
      <w:bookmarkStart w:id="159" w:name="_Toc16918"/>
      <w:bookmarkStart w:id="160" w:name="_Toc43160490"/>
      <w:bookmarkStart w:id="161" w:name="_Toc6898"/>
      <w:bookmarkStart w:id="162" w:name="_Toc25922"/>
      <w:bookmarkStart w:id="163" w:name="_Toc32222"/>
      <w:bookmarkStart w:id="164" w:name="_Toc15377"/>
      <w:bookmarkStart w:id="165" w:name="_Toc26433"/>
      <w:bookmarkStart w:id="166" w:name="_Toc20175"/>
      <w:bookmarkStart w:id="167" w:name="_Toc13879"/>
      <w:bookmarkStart w:id="168" w:name="_Toc9397"/>
      <w:bookmarkStart w:id="169" w:name="_Toc23605"/>
      <w:bookmarkStart w:id="170" w:name="_Toc6118"/>
      <w:bookmarkStart w:id="171" w:name="_Toc127988759"/>
      <w:r>
        <w:rPr>
          <w:rFonts w:hint="eastAsia" w:ascii="方正仿宋_GBK" w:hAnsi="方正仿宋_GBK" w:eastAsia="方正仿宋_GBK" w:cs="黑体"/>
          <w:b/>
          <w:bCs/>
          <w:sz w:val="24"/>
        </w:rPr>
        <w:t>14.1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首次申报或税源信息发生变化的，还需提供《城镇土地使用税 </w:t>
      </w:r>
      <w:r>
        <w:rPr>
          <w:rFonts w:hint="eastAsia" w:ascii="方正仿宋_GBK" w:hAnsi="方正仿宋_GBK" w:eastAsia="方正仿宋_GBK" w:cs="方正仿宋_GBK"/>
          <w:sz w:val="24"/>
        </w:rPr>
        <w:t>房产税税源明细表》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享受税收优惠的纳税人，还需提供《财产和行为税减免税明细申报附表》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14.2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15.</w:t>
      </w:r>
      <w:r>
        <w:rPr>
          <w:rFonts w:ascii="方正仿宋_GBK" w:hAnsi="方正仿宋_GBK" w:eastAsia="方正仿宋_GBK"/>
        </w:rPr>
        <w:t>契税申报</w:t>
      </w:r>
      <w:bookmarkEnd w:id="155"/>
      <w:bookmarkEnd w:id="156"/>
      <w:bookmarkEnd w:id="157"/>
      <w:bookmarkEnd w:id="158"/>
      <w:bookmarkEnd w:id="159"/>
      <w:bookmarkEnd w:id="160"/>
      <w:bookmarkEnd w:id="161"/>
      <w:bookmarkEnd w:id="162"/>
      <w:bookmarkEnd w:id="16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纳税人承受中华人民共和国境内土地、房屋权属的，填报《财产和行为税纳税申报表》及相关资料，向土地、房屋所在地税务机关办理契税申报。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《财产和行为税纳税申报表》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宋体"/>
          <w:sz w:val="24"/>
        </w:rPr>
        <w:t>《契税税源明细表》</w:t>
      </w:r>
      <w:r>
        <w:rPr>
          <w:rFonts w:hint="eastAsia" w:ascii="方正仿宋_GBK" w:hAnsi="方正仿宋_GBK" w:eastAsia="方正仿宋_GBK" w:cs="Calibri"/>
          <w:sz w:val="24"/>
        </w:rPr>
        <w:t>（资料来源：各办税服务厅或国家税务总局辽宁省税务局官网http://liaoning.chinatax.gov.cn中—纳税服务—下载中心—表单下载）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不动产权属转移合同原件及复印件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经办人身份证件原件及复印件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⑤</w:t>
      </w:r>
      <w:r>
        <w:rPr>
          <w:rFonts w:hint="eastAsia" w:ascii="方正仿宋_GBK" w:hAnsi="方正仿宋_GBK" w:eastAsia="方正仿宋_GBK" w:cs="宋体"/>
          <w:sz w:val="24"/>
        </w:rPr>
        <w:t>享受契税优惠的，还需提供减免契税证明材料原件及复印件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 xml:space="preserve">⑥ </w:t>
      </w:r>
      <w:r>
        <w:rPr>
          <w:rFonts w:hint="eastAsia" w:ascii="方正仿宋_GBK" w:hAnsi="方正仿宋_GBK" w:eastAsia="方正仿宋_GBK" w:cs="宋体"/>
          <w:sz w:val="24"/>
        </w:rPr>
        <w:t>交付经济利益方式转移土地、房屋权属的，还需提供土地、房屋权属转移相关价款支付凭证原件及复印件（土地使用权出让为财政票据，土地使用权出售、互换和房屋买卖、互换为增值税发票）</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⑦</w:t>
      </w:r>
      <w:r>
        <w:rPr>
          <w:rFonts w:hint="eastAsia" w:ascii="方正仿宋_GBK" w:hAnsi="方正仿宋_GBK" w:eastAsia="方正仿宋_GBK" w:cs="宋体"/>
          <w:sz w:val="24"/>
        </w:rPr>
        <w:t>因人民法院、仲裁委员会的生效法律文书或者监察机关出具的监察文书等因素发生土地、房屋权属转移，还需提供生效法律文书或监察文书等原件及复印件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人民法院、仲裁委员会、监察机关</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theme="minorHAnsi"/>
          <w:sz w:val="24"/>
        </w:rPr>
        <w:t>⑧</w:t>
      </w:r>
      <w:r>
        <w:rPr>
          <w:rFonts w:hint="eastAsia" w:ascii="方正仿宋_GBK" w:hAnsi="方正仿宋_GBK" w:eastAsia="方正仿宋_GBK" w:cs="宋体"/>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Pr>
          <w:rFonts w:hint="eastAsia" w:ascii="方正仿宋_GBK" w:hAnsi="方正仿宋_GBK" w:eastAsia="方正仿宋_GBK" w:cs="Calibri"/>
          <w:sz w:val="24"/>
        </w:rPr>
        <w:t>（资料来源：纳税人、</w:t>
      </w:r>
      <w:r>
        <w:rPr>
          <w:rFonts w:hint="eastAsia" w:ascii="方正仿宋_GBK" w:hAnsi="方正仿宋_GBK" w:eastAsia="方正仿宋_GBK" w:cs="宋体"/>
          <w:sz w:val="24"/>
        </w:rPr>
        <w:t>人民法院、仲裁委员会</w:t>
      </w:r>
      <w:r>
        <w:rPr>
          <w:rFonts w:hint="eastAsia" w:ascii="方正仿宋_GBK" w:hAnsi="方正仿宋_GBK" w:eastAsia="方正仿宋_GBK" w:cs="Calibri"/>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15.2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15.4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bookmarkEnd w:id="164"/>
    <w:bookmarkEnd w:id="165"/>
    <w:bookmarkEnd w:id="166"/>
    <w:bookmarkEnd w:id="167"/>
    <w:bookmarkEnd w:id="168"/>
    <w:bookmarkEnd w:id="169"/>
    <w:bookmarkEnd w:id="170"/>
    <w:bookmarkEnd w:id="171"/>
    <w:p>
      <w:pPr>
        <w:pStyle w:val="3"/>
        <w:rPr>
          <w:rFonts w:ascii="方正仿宋_GBK" w:hAnsi="方正仿宋_GBK" w:eastAsia="方正仿宋_GBK"/>
        </w:rPr>
      </w:pPr>
      <w:bookmarkStart w:id="172" w:name="_Toc11691"/>
      <w:bookmarkStart w:id="173" w:name="_Toc127988903"/>
      <w:bookmarkStart w:id="174" w:name="_Toc26936"/>
      <w:bookmarkStart w:id="175" w:name="_Toc128733559"/>
      <w:bookmarkStart w:id="176" w:name="_Toc31871"/>
      <w:bookmarkStart w:id="177" w:name="_Toc10435"/>
      <w:bookmarkStart w:id="178" w:name="_Toc6269"/>
      <w:bookmarkStart w:id="179" w:name="_Toc26796"/>
      <w:bookmarkStart w:id="180" w:name="_Toc4793"/>
      <w:r>
        <w:rPr>
          <w:rFonts w:hint="eastAsia" w:ascii="方正仿宋_GBK" w:hAnsi="方正仿宋_GBK" w:eastAsia="方正仿宋_GBK"/>
        </w:rPr>
        <w:t xml:space="preserve">四、 </w:t>
      </w:r>
      <w:r>
        <w:rPr>
          <w:rFonts w:ascii="方正仿宋_GBK" w:hAnsi="方正仿宋_GBK" w:eastAsia="方正仿宋_GBK"/>
        </w:rPr>
        <w:t xml:space="preserve"> 证明办理</w:t>
      </w:r>
      <w:bookmarkEnd w:id="172"/>
      <w:bookmarkEnd w:id="173"/>
      <w:bookmarkEnd w:id="174"/>
      <w:bookmarkEnd w:id="175"/>
      <w:bookmarkEnd w:id="176"/>
      <w:bookmarkEnd w:id="177"/>
      <w:bookmarkEnd w:id="178"/>
      <w:bookmarkEnd w:id="179"/>
      <w:bookmarkEnd w:id="180"/>
    </w:p>
    <w:p>
      <w:pPr>
        <w:pStyle w:val="4"/>
        <w:rPr>
          <w:rFonts w:ascii="方正仿宋_GBK" w:hAnsi="方正仿宋_GBK" w:eastAsia="方正仿宋_GBK"/>
        </w:rPr>
      </w:pPr>
      <w:bookmarkStart w:id="181" w:name="_Toc19570"/>
      <w:bookmarkStart w:id="182" w:name="_Toc14071"/>
      <w:bookmarkStart w:id="183" w:name="_Toc22797"/>
      <w:bookmarkStart w:id="184" w:name="_Toc127988905"/>
      <w:bookmarkStart w:id="185" w:name="_Toc9432"/>
      <w:bookmarkStart w:id="186" w:name="_Toc15726"/>
      <w:bookmarkStart w:id="187" w:name="_Toc28585"/>
      <w:bookmarkStart w:id="188" w:name="_Toc25586"/>
      <w:r>
        <w:rPr>
          <w:rFonts w:hint="eastAsia" w:ascii="方正仿宋_GBK" w:hAnsi="方正仿宋_GBK" w:eastAsia="方正仿宋_GBK"/>
        </w:rPr>
        <w:t>16.</w:t>
      </w:r>
      <w:r>
        <w:rPr>
          <w:rFonts w:ascii="方正仿宋_GBK" w:hAnsi="方正仿宋_GBK" w:eastAsia="方正仿宋_GBK"/>
        </w:rPr>
        <w:t>开具税收完税证明</w:t>
      </w:r>
      <w:bookmarkEnd w:id="181"/>
      <w:bookmarkEnd w:id="182"/>
      <w:bookmarkEnd w:id="183"/>
      <w:bookmarkEnd w:id="184"/>
      <w:bookmarkEnd w:id="185"/>
      <w:bookmarkEnd w:id="186"/>
      <w:bookmarkEnd w:id="187"/>
      <w:bookmarkEnd w:id="188"/>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纳税人已经缴纳税款或者退还</w:t>
      </w:r>
      <w:r>
        <w:rPr>
          <w:rFonts w:hint="eastAsia" w:ascii="方正仿宋_GBK" w:hAnsi="方正仿宋_GBK" w:eastAsia="方正仿宋_GBK" w:cs="宋体"/>
          <w:sz w:val="24"/>
        </w:rPr>
        <w:t>已缴纳</w:t>
      </w:r>
      <w:r>
        <w:rPr>
          <w:rFonts w:ascii="方正仿宋_GBK" w:hAnsi="方正仿宋_GBK" w:eastAsia="方正仿宋_GBK" w:cs="宋体"/>
          <w:sz w:val="24"/>
        </w:rPr>
        <w:t>税款</w:t>
      </w:r>
      <w:r>
        <w:rPr>
          <w:rFonts w:hint="eastAsia" w:ascii="方正仿宋_GBK" w:hAnsi="方正仿宋_GBK" w:eastAsia="方正仿宋_GBK" w:cs="宋体"/>
          <w:sz w:val="24"/>
        </w:rPr>
        <w:t>的，</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16.1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theme="minorHAnsi"/>
          <w:sz w:val="24"/>
        </w:rPr>
        <w:t>③</w:t>
      </w:r>
      <w:r>
        <w:rPr>
          <w:rFonts w:hint="eastAsia" w:ascii="方正仿宋_GBK" w:hAnsi="方正仿宋_GBK" w:eastAsia="方正仿宋_GBK" w:cs="Calibri"/>
          <w:sz w:val="24"/>
        </w:rPr>
        <w:t>证券交易场所和证券登记结算机构扣缴证券交易印花税后，换开税收完税证明，需提供要加盖开具单位的相关业务章戳的“成交过户交割凭单”或“过户登记确认书”（资料来源：纳税人、证券交易场所和证券登记结算机构）</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Calibri"/>
          <w:sz w:val="24"/>
        </w:rPr>
        <w:t>通过保险机构缴纳车船税后，换开税收完税证明还需提供记载车船税完税情况，需提供“交强险”保险单复印件（资料来源：纳税人、保险机构）</w:t>
      </w:r>
    </w:p>
    <w:p>
      <w:pPr>
        <w:spacing w:line="360" w:lineRule="auto"/>
        <w:ind w:firstLine="480"/>
        <w:rPr>
          <w:rFonts w:ascii="方正仿宋_GBK" w:hAnsi="方正仿宋_GBK" w:eastAsia="方正仿宋_GBK"/>
          <w:b/>
          <w:sz w:val="11"/>
        </w:rPr>
      </w:pPr>
      <w:r>
        <w:rPr>
          <w:rFonts w:ascii="方正仿宋_GBK" w:hAnsi="方正仿宋_GBK" w:eastAsia="方正仿宋_GBK" w:cs="Calibri"/>
          <w:sz w:val="24"/>
        </w:rPr>
        <w:t>⑤</w:t>
      </w:r>
      <w:r>
        <w:rPr>
          <w:rFonts w:hint="eastAsia" w:ascii="方正仿宋_GBK" w:hAnsi="方正仿宋_GBK" w:eastAsia="方正仿宋_GBK" w:cs="Calibri"/>
          <w:sz w:val="24"/>
        </w:rPr>
        <w:t>储蓄机构扣缴储蓄存款利息所得税后，换开税收完税证明，需提供记载储蓄存款利息所得税完税情况的利息清单（资料来源：纳税人、储蓄机构）</w:t>
      </w:r>
    </w:p>
    <w:p>
      <w:pPr>
        <w:spacing w:line="360" w:lineRule="auto"/>
        <w:ind w:firstLine="480"/>
        <w:rPr>
          <w:rFonts w:ascii="方正仿宋_GBK" w:hAnsi="方正仿宋_GBK" w:eastAsia="方正仿宋_GBK" w:cs="黑体"/>
          <w:b/>
          <w:bCs/>
          <w:sz w:val="24"/>
        </w:rPr>
      </w:pPr>
      <w:bookmarkStart w:id="189" w:name="_Toc23795"/>
      <w:bookmarkStart w:id="190" w:name="_Toc20680"/>
      <w:bookmarkStart w:id="191" w:name="_Toc13109"/>
      <w:bookmarkStart w:id="192" w:name="_Toc25324"/>
      <w:bookmarkStart w:id="193" w:name="_Toc934"/>
      <w:bookmarkStart w:id="194" w:name="_Toc23701"/>
      <w:bookmarkStart w:id="195" w:name="_Toc127988907"/>
      <w:bookmarkStart w:id="196" w:name="_Toc7988"/>
      <w:r>
        <w:rPr>
          <w:rFonts w:hint="eastAsia" w:ascii="方正仿宋_GBK" w:hAnsi="方正仿宋_GBK" w:eastAsia="方正仿宋_GBK" w:cs="黑体"/>
          <w:b/>
          <w:bCs/>
          <w:sz w:val="24"/>
        </w:rPr>
        <w:t>16.2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16.4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17.开具无欠税证明</w:t>
      </w:r>
      <w:bookmarkEnd w:id="189"/>
      <w:bookmarkEnd w:id="190"/>
      <w:bookmarkEnd w:id="191"/>
      <w:bookmarkEnd w:id="192"/>
      <w:bookmarkEnd w:id="193"/>
      <w:bookmarkEnd w:id="194"/>
      <w:bookmarkEnd w:id="195"/>
      <w:bookmarkEnd w:id="196"/>
      <w:r>
        <w:rPr>
          <w:rFonts w:hint="eastAsia" w:ascii="方正仿宋_GBK" w:hAnsi="方正仿宋_GBK" w:eastAsia="方正仿宋_GBK"/>
        </w:rPr>
        <w:tab/>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纳税人因企业上市、境外投标等需要，确需开具《无欠税证明》的，均可以向主管税务机关申请办理。</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黑体"/>
          <w:b/>
          <w:bCs/>
          <w:sz w:val="24"/>
        </w:rPr>
        <w:t>17.1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身份证件原件（资料来源：纳税人）</w:t>
      </w:r>
    </w:p>
    <w:p>
      <w:pPr>
        <w:spacing w:line="360" w:lineRule="auto"/>
        <w:ind w:firstLine="480"/>
        <w:rPr>
          <w:rFonts w:ascii="方正仿宋_GBK" w:hAnsi="方正仿宋_GBK" w:eastAsia="方正仿宋_GBK"/>
          <w:b/>
          <w:bCs/>
        </w:rPr>
      </w:pPr>
      <w:r>
        <w:rPr>
          <w:rFonts w:ascii="方正仿宋_GBK" w:hAnsi="方正仿宋_GBK" w:eastAsia="方正仿宋_GBK" w:cs="Calibri"/>
          <w:sz w:val="24"/>
        </w:rPr>
        <w:t>②</w:t>
      </w:r>
      <w:r>
        <w:rPr>
          <w:rFonts w:hint="eastAsia" w:ascii="方正仿宋_GBK" w:hAnsi="方正仿宋_GBK" w:eastAsia="方正仿宋_GBK" w:cs="Calibri"/>
          <w:sz w:val="24"/>
        </w:rPr>
        <w:t>自然人委托他人代为开具，还需提供委托人及受托人身份证件原件和委托书（资料来源：纳税人）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17.2  办理路径</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rPr>
        <w:t>丹东边境经济合作区税务局办税服务厅</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ascii="方正仿宋_GBK" w:hAnsi="方正仿宋_GBK" w:eastAsia="方正仿宋_GBK" w:cs="黑体"/>
          <w:b/>
          <w:bCs/>
          <w:sz w:val="24"/>
        </w:rPr>
      </w:pPr>
      <w:r>
        <w:rPr>
          <w:rFonts w:ascii="方正仿宋_GBK" w:hAnsi="方正仿宋_GBK" w:eastAsia="方正仿宋_GBK"/>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17.3  办理时限：</w:t>
      </w:r>
      <w:r>
        <w:rPr>
          <w:rFonts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17.4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bookmarkEnd w:id="17"/>
    <w:bookmarkEnd w:id="18"/>
    <w:bookmarkEnd w:id="19"/>
    <w:bookmarkEnd w:id="20"/>
    <w:bookmarkEnd w:id="21"/>
    <w:bookmarkEnd w:id="22"/>
    <w:bookmarkEnd w:id="23"/>
    <w:bookmarkEnd w:id="24"/>
    <w:p>
      <w:pPr>
        <w:pStyle w:val="3"/>
        <w:rPr>
          <w:rFonts w:ascii="方正仿宋_GBK" w:hAnsi="方正仿宋_GBK" w:eastAsia="方正仿宋_GBK" w:cs="宋体"/>
          <w:sz w:val="24"/>
        </w:rPr>
      </w:pPr>
      <w:bookmarkStart w:id="197" w:name="_Toc128733561"/>
      <w:r>
        <w:rPr>
          <w:rFonts w:hint="eastAsia" w:ascii="方正仿宋_GBK" w:hAnsi="方正仿宋_GBK" w:eastAsia="方正仿宋_GBK"/>
        </w:rPr>
        <w:t>六、 国际税收业务</w:t>
      </w:r>
      <w:bookmarkEnd w:id="197"/>
    </w:p>
    <w:p>
      <w:pPr>
        <w:pStyle w:val="4"/>
        <w:ind w:firstLine="419" w:firstLineChars="131"/>
        <w:rPr>
          <w:rFonts w:ascii="方正仿宋_GBK" w:hAnsi="方正仿宋_GBK" w:eastAsia="方正仿宋_GBK"/>
        </w:rPr>
      </w:pPr>
      <w:r>
        <w:rPr>
          <w:rFonts w:hint="eastAsia" w:ascii="方正仿宋_GBK" w:hAnsi="方正仿宋_GBK" w:eastAsia="方正仿宋_GBK"/>
        </w:rPr>
        <w:t>18.服务贸易等项目对外支付税务备案</w:t>
      </w:r>
    </w:p>
    <w:p>
      <w:pPr>
        <w:wordWrap w:val="0"/>
        <w:spacing w:line="360" w:lineRule="auto"/>
        <w:ind w:firstLine="482"/>
        <w:contextualSpacing/>
        <w:rPr>
          <w:rFonts w:ascii="方正仿宋_GBK" w:hAnsi="方正仿宋_GBK" w:eastAsia="方正仿宋_GBK" w:cs="宋体"/>
          <w:sz w:val="24"/>
        </w:rPr>
      </w:pPr>
      <w:r>
        <w:rPr>
          <w:rFonts w:hint="eastAsia" w:ascii="方正仿宋_GBK" w:hAnsi="方正仿宋_GBK" w:eastAsia="方正仿宋_GBK" w:cs="宋体"/>
          <w:sz w:val="24"/>
        </w:rPr>
        <w:t>纳税人向境外单笔支付等值5万美元以上（不含等值5万美元）符合条件的，应向所在地主管税务机关进行税务备案。</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18.1  需提供要件</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①《服务贸易等项目对外支付税务备案表》（资料来源</w:t>
      </w:r>
      <w:r>
        <w:rPr>
          <w:rFonts w:ascii="方正仿宋_GBK" w:hAnsi="方正仿宋_GBK" w:eastAsia="方正仿宋_GBK"/>
          <w:sz w:val="24"/>
        </w:rPr>
        <w:t>:各办税服务厅或国家税务总局辽宁省税务局官网http://liaoning.chinatax.gov.cn中—纳税服务—下载中心—表单下载）</w:t>
      </w:r>
    </w:p>
    <w:p>
      <w:pPr>
        <w:spacing w:line="360" w:lineRule="auto"/>
        <w:ind w:firstLine="482"/>
        <w:rPr>
          <w:rFonts w:ascii="方正仿宋_GBK" w:hAnsi="方正仿宋_GBK" w:eastAsia="方正仿宋_GBK"/>
          <w:sz w:val="24"/>
        </w:rPr>
      </w:pPr>
      <w:r>
        <w:rPr>
          <w:rFonts w:hint="eastAsia" w:ascii="方正仿宋_GBK" w:hAnsi="方正仿宋_GBK" w:eastAsia="方正仿宋_GBK"/>
          <w:sz w:val="24"/>
        </w:rPr>
        <w:t>②合同（协议）或相关交易凭证复印件（材料文本为外文的，同时附送中文译本）（资料来源：纳税人）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18.2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18.3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18.4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ind w:firstLine="419" w:firstLineChars="131"/>
        <w:rPr>
          <w:rFonts w:ascii="方正仿宋_GBK" w:hAnsi="方正仿宋_GBK" w:eastAsia="方正仿宋_GBK"/>
        </w:rPr>
      </w:pPr>
      <w:r>
        <w:rPr>
          <w:rFonts w:hint="eastAsia" w:ascii="方正仿宋_GBK" w:hAnsi="方正仿宋_GBK" w:eastAsia="方正仿宋_GBK"/>
        </w:rPr>
        <w:t>19.非居民企业企业所得税预缴申报</w:t>
      </w:r>
    </w:p>
    <w:p>
      <w:pPr>
        <w:spacing w:line="360" w:lineRule="auto"/>
        <w:ind w:firstLine="480"/>
        <w:rPr>
          <w:rFonts w:ascii="方正仿宋_GBK" w:hAnsi="方正仿宋_GBK" w:eastAsia="方正仿宋_GBK"/>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依照外国（地区）法律成立且实际管理机构不在中国境内，但在中国境内设立机构、场所的，在季度终了后</w:t>
      </w:r>
      <w:r>
        <w:rPr>
          <w:rFonts w:hint="eastAsia" w:ascii="方正仿宋_GBK" w:hAnsi="方正仿宋_GBK" w:eastAsia="方正仿宋_GBK"/>
          <w:sz w:val="24"/>
        </w:rPr>
        <w:t>14</w:t>
      </w:r>
      <w:r>
        <w:rPr>
          <w:rFonts w:ascii="方正仿宋_GBK" w:hAnsi="方正仿宋_GBK" w:eastAsia="方正仿宋_GBK" w:cs="宋体"/>
          <w:sz w:val="24"/>
        </w:rPr>
        <w:t>日内，向税务机关申报预缴企业所得税。</w:t>
      </w:r>
    </w:p>
    <w:p>
      <w:pPr>
        <w:spacing w:line="360" w:lineRule="auto"/>
        <w:ind w:firstLine="480"/>
        <w:rPr>
          <w:rFonts w:ascii="方正仿宋_GBK" w:hAnsi="方正仿宋_GBK" w:eastAsia="方正仿宋_GBK" w:cs="黑体"/>
          <w:b/>
          <w:bCs/>
          <w:sz w:val="24"/>
        </w:rPr>
      </w:pPr>
      <w:bookmarkStart w:id="198" w:name="_Toc191"/>
      <w:bookmarkStart w:id="199" w:name="_Toc2997"/>
      <w:bookmarkStart w:id="200" w:name="_Toc886"/>
      <w:bookmarkStart w:id="201" w:name="_Toc1362"/>
      <w:bookmarkStart w:id="202" w:name="_Toc18961"/>
      <w:bookmarkStart w:id="203" w:name="_Toc128733562"/>
      <w:bookmarkStart w:id="204" w:name="_Toc24955"/>
      <w:bookmarkStart w:id="205" w:name="_Toc30337"/>
      <w:r>
        <w:rPr>
          <w:rFonts w:hint="eastAsia" w:ascii="方正仿宋_GBK" w:hAnsi="方正仿宋_GBK" w:eastAsia="方正仿宋_GBK" w:cs="黑体"/>
          <w:b/>
          <w:bCs/>
          <w:sz w:val="24"/>
        </w:rPr>
        <w:t>19.1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《中华人民共和国非居民企业所得税预缴申报表（1716年版）》及相关资料（资料来源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19.2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19.3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19.4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r>
        <w:rPr>
          <w:rFonts w:hint="eastAsia" w:ascii="方正仿宋_GBK" w:hAnsi="方正仿宋_GBK" w:eastAsia="方正仿宋_GBK"/>
        </w:rPr>
        <w:t xml:space="preserve">八、 </w:t>
      </w:r>
      <w:r>
        <w:rPr>
          <w:rFonts w:ascii="方正仿宋_GBK" w:hAnsi="方正仿宋_GBK" w:eastAsia="方正仿宋_GBK"/>
        </w:rPr>
        <w:t>个人所得税</w:t>
      </w:r>
      <w:bookmarkEnd w:id="198"/>
      <w:bookmarkEnd w:id="199"/>
      <w:bookmarkEnd w:id="200"/>
      <w:bookmarkEnd w:id="201"/>
      <w:bookmarkEnd w:id="202"/>
      <w:bookmarkEnd w:id="203"/>
      <w:bookmarkEnd w:id="204"/>
      <w:bookmarkEnd w:id="205"/>
    </w:p>
    <w:p>
      <w:pPr>
        <w:pStyle w:val="4"/>
        <w:ind w:firstLine="419" w:firstLineChars="131"/>
        <w:rPr>
          <w:rFonts w:ascii="方正仿宋_GBK" w:hAnsi="方正仿宋_GBK" w:eastAsia="方正仿宋_GBK"/>
        </w:rPr>
      </w:pPr>
      <w:bookmarkStart w:id="206" w:name="_Toc24295"/>
      <w:bookmarkStart w:id="207" w:name="_Toc17367"/>
      <w:bookmarkStart w:id="208" w:name="_Toc19971"/>
      <w:bookmarkStart w:id="209" w:name="_Toc1317"/>
      <w:bookmarkStart w:id="210" w:name="_Toc21152"/>
      <w:bookmarkStart w:id="211" w:name="_Toc6671"/>
      <w:bookmarkStart w:id="212" w:name="_Toc26738"/>
      <w:r>
        <w:rPr>
          <w:rFonts w:hint="eastAsia" w:ascii="方正仿宋_GBK" w:hAnsi="方正仿宋_GBK" w:eastAsia="方正仿宋_GBK"/>
        </w:rPr>
        <w:t>20.</w:t>
      </w:r>
      <w:r>
        <w:rPr>
          <w:rFonts w:ascii="方正仿宋_GBK" w:hAnsi="方正仿宋_GBK" w:eastAsia="方正仿宋_GBK"/>
        </w:rPr>
        <w:t>居民综合所得个人所得税年度自行申报</w:t>
      </w:r>
      <w:bookmarkEnd w:id="206"/>
      <w:bookmarkEnd w:id="207"/>
      <w:bookmarkEnd w:id="208"/>
      <w:bookmarkEnd w:id="209"/>
      <w:bookmarkEnd w:id="210"/>
      <w:bookmarkEnd w:id="211"/>
      <w:bookmarkEnd w:id="212"/>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取得工资、薪金所得、劳务报酬所得、稿酬所得、特许权使用费所得等综合所得且符合下列情形之一的，在取得所得的次</w:t>
      </w:r>
      <w:r>
        <w:rPr>
          <w:rFonts w:ascii="方正仿宋_GBK" w:hAnsi="方正仿宋_GBK" w:eastAsia="方正仿宋_GBK"/>
          <w:sz w:val="24"/>
        </w:rPr>
        <w:t>3</w:t>
      </w:r>
      <w:r>
        <w:rPr>
          <w:rFonts w:ascii="方正仿宋_GBK" w:hAnsi="方正仿宋_GBK" w:eastAsia="方正仿宋_GBK" w:cs="宋体"/>
          <w:sz w:val="24"/>
        </w:rPr>
        <w:t>月</w:t>
      </w:r>
      <w:r>
        <w:rPr>
          <w:rFonts w:ascii="方正仿宋_GBK" w:hAnsi="方正仿宋_GBK" w:eastAsia="方正仿宋_GBK"/>
          <w:sz w:val="24"/>
        </w:rPr>
        <w:t>1</w:t>
      </w:r>
      <w:r>
        <w:rPr>
          <w:rFonts w:ascii="方正仿宋_GBK" w:hAnsi="方正仿宋_GBK" w:eastAsia="方正仿宋_GBK" w:cs="宋体"/>
          <w:sz w:val="24"/>
        </w:rPr>
        <w:t>日至</w:t>
      </w:r>
      <w:r>
        <w:rPr>
          <w:rFonts w:ascii="方正仿宋_GBK" w:hAnsi="方正仿宋_GBK" w:eastAsia="方正仿宋_GBK"/>
          <w:sz w:val="24"/>
        </w:rPr>
        <w:t>6</w:t>
      </w:r>
      <w:r>
        <w:rPr>
          <w:rFonts w:ascii="方正仿宋_GBK" w:hAnsi="方正仿宋_GBK" w:eastAsia="方正仿宋_GBK" w:cs="宋体"/>
          <w:sz w:val="24"/>
        </w:rPr>
        <w:t>月</w:t>
      </w:r>
      <w:r>
        <w:rPr>
          <w:rFonts w:hint="eastAsia" w:ascii="方正仿宋_GBK" w:hAnsi="方正仿宋_GBK" w:eastAsia="方正仿宋_GBK"/>
          <w:sz w:val="24"/>
        </w:rPr>
        <w:t>21</w:t>
      </w:r>
      <w:r>
        <w:rPr>
          <w:rFonts w:ascii="方正仿宋_GBK" w:hAnsi="方正仿宋_GBK" w:eastAsia="方正仿宋_GBK" w:cs="宋体"/>
          <w:sz w:val="24"/>
        </w:rPr>
        <w:t>日内填报《个人所得税年度自行纳税申报表》及其他相关资料，办理</w:t>
      </w:r>
      <w:r>
        <w:rPr>
          <w:rFonts w:hint="eastAsia" w:ascii="方正仿宋_GBK" w:hAnsi="方正仿宋_GBK" w:eastAsia="方正仿宋_GBK" w:cs="宋体"/>
          <w:sz w:val="24"/>
        </w:rPr>
        <w:t>年度汇算</w:t>
      </w:r>
      <w:r>
        <w:rPr>
          <w:rFonts w:ascii="方正仿宋_GBK" w:hAnsi="方正仿宋_GBK" w:eastAsia="方正仿宋_GBK" w:cs="宋体"/>
          <w:sz w:val="24"/>
        </w:rPr>
        <w:t>或者随</w:t>
      </w:r>
      <w:r>
        <w:rPr>
          <w:rFonts w:hint="eastAsia" w:ascii="方正仿宋_GBK" w:hAnsi="方正仿宋_GBK" w:eastAsia="方正仿宋_GBK" w:cs="宋体"/>
          <w:sz w:val="24"/>
        </w:rPr>
        <w:t>年度汇算</w:t>
      </w:r>
      <w:r>
        <w:rPr>
          <w:rFonts w:ascii="方正仿宋_GBK" w:hAnsi="方正仿宋_GBK" w:eastAsia="方正仿宋_GBK" w:cs="宋体"/>
          <w:sz w:val="24"/>
        </w:rPr>
        <w:t>一并办理纳税申报：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（1）</w:t>
      </w:r>
      <w:r>
        <w:rPr>
          <w:rFonts w:ascii="方正仿宋_GBK" w:hAnsi="方正仿宋_GBK" w:eastAsia="方正仿宋_GBK" w:cs="宋体"/>
          <w:sz w:val="24"/>
        </w:rPr>
        <w:t>从两处以上取得综合所得，且综合所得年收入额减除专项扣除后的余额超过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（2）</w:t>
      </w:r>
      <w:r>
        <w:rPr>
          <w:rFonts w:ascii="方正仿宋_GBK" w:hAnsi="方正仿宋_GBK" w:eastAsia="方正仿宋_GBK" w:cs="宋体"/>
          <w:sz w:val="24"/>
        </w:rPr>
        <w:t>取得劳务报酬所得、稿酬所得、特许权使用费所得中一项或者多项所得，且综合所得年收入额减除专项扣除的余额超过</w:t>
      </w:r>
      <w:r>
        <w:rPr>
          <w:rFonts w:ascii="方正仿宋_GBK" w:hAnsi="方正仿宋_GBK" w:eastAsia="方正仿宋_GBK"/>
          <w:sz w:val="24"/>
        </w:rPr>
        <w:t>6</w:t>
      </w:r>
      <w:r>
        <w:rPr>
          <w:rFonts w:ascii="方正仿宋_GBK" w:hAnsi="方正仿宋_GBK" w:eastAsia="方正仿宋_GBK" w:cs="宋体"/>
          <w:sz w:val="24"/>
        </w:rPr>
        <w:t>万元；</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（3）</w:t>
      </w:r>
      <w:r>
        <w:rPr>
          <w:rFonts w:ascii="方正仿宋_GBK" w:hAnsi="方正仿宋_GBK" w:eastAsia="方正仿宋_GBK" w:cs="宋体"/>
          <w:sz w:val="24"/>
        </w:rPr>
        <w:t>纳税年度内预缴税额低于应纳税额；</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（4）</w:t>
      </w:r>
      <w:r>
        <w:rPr>
          <w:rFonts w:ascii="方正仿宋_GBK" w:hAnsi="方正仿宋_GBK" w:eastAsia="方正仿宋_GBK" w:cs="宋体"/>
          <w:sz w:val="24"/>
        </w:rPr>
        <w:t>纳税人申请退税；</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sz w:val="24"/>
        </w:rPr>
        <w:t>（5）</w:t>
      </w:r>
      <w:r>
        <w:rPr>
          <w:rFonts w:ascii="方正仿宋_GBK" w:hAnsi="方正仿宋_GBK" w:eastAsia="方正仿宋_GBK" w:cs="宋体"/>
          <w:sz w:val="24"/>
        </w:rPr>
        <w:t>纳税人取得综合所得，扣缴义务人未扣缴税款的。</w:t>
      </w:r>
    </w:p>
    <w:p>
      <w:pPr>
        <w:spacing w:line="360" w:lineRule="auto"/>
        <w:ind w:firstLine="480"/>
        <w:rPr>
          <w:rFonts w:ascii="方正仿宋_GBK" w:hAnsi="方正仿宋_GBK" w:eastAsia="方正仿宋_GBK" w:cs="黑体"/>
          <w:b/>
          <w:bCs/>
          <w:sz w:val="24"/>
        </w:rPr>
      </w:pPr>
      <w:bookmarkStart w:id="213" w:name="_Toc25659"/>
      <w:bookmarkStart w:id="214" w:name="_Toc11438"/>
      <w:bookmarkStart w:id="215" w:name="_Toc27888"/>
      <w:bookmarkStart w:id="216" w:name="_Toc18188"/>
      <w:bookmarkStart w:id="217" w:name="_Toc3614"/>
      <w:bookmarkStart w:id="218" w:name="_Toc16109"/>
      <w:bookmarkStart w:id="219" w:name="_Toc2687"/>
      <w:r>
        <w:rPr>
          <w:rFonts w:hint="eastAsia" w:ascii="方正仿宋_GBK" w:hAnsi="方正仿宋_GBK" w:eastAsia="方正仿宋_GBK" w:cs="黑体"/>
          <w:b/>
          <w:bCs/>
          <w:sz w:val="24"/>
        </w:rPr>
        <w:t>20.1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①《个人所得税年度自行纳税申报表》（资料来源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②如选择在汇算清缴申报时享受专项附加扣除的，还需提供《个人所得税专项附加扣除信息表》（资料来源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20.2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微软雅黑"/>
          <w:sz w:val="24"/>
        </w:rPr>
      </w:pPr>
      <w:r>
        <w:rPr>
          <w:rFonts w:hint="eastAsia" w:ascii="方正仿宋_GBK" w:hAnsi="方正仿宋_GBK" w:eastAsia="方正仿宋_GBK" w:cs="微软雅黑"/>
          <w:b/>
          <w:bCs/>
          <w:sz w:val="24"/>
        </w:rPr>
        <w:t>②掌上办：</w:t>
      </w:r>
      <w:r>
        <w:rPr>
          <w:rFonts w:hint="eastAsia" w:ascii="方正仿宋_GBK" w:hAnsi="方正仿宋_GBK" w:eastAsia="方正仿宋_GBK" w:cs="微软雅黑"/>
          <w:sz w:val="24"/>
        </w:rPr>
        <w:t>个人所得税APP</w:t>
      </w:r>
    </w:p>
    <w:p>
      <w:pPr>
        <w:spacing w:line="360" w:lineRule="auto"/>
        <w:ind w:firstLine="420" w:firstLineChars="200"/>
        <w:jc w:val="center"/>
        <w:rPr>
          <w:rFonts w:ascii="方正仿宋_GBK" w:hAnsi="方正仿宋_GBK" w:eastAsia="方正仿宋_GBK" w:cs="宋体"/>
          <w:sz w:val="24"/>
          <w:szCs w:val="24"/>
        </w:rPr>
      </w:pPr>
      <w:r>
        <w:rPr>
          <w:rFonts w:ascii="方正仿宋_GBK" w:hAnsi="方正仿宋_GBK" w:eastAsia="方正仿宋_GBK"/>
        </w:rPr>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20.3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20.4  温馨提示：</w:t>
      </w:r>
      <w:r>
        <w:rPr>
          <w:rFonts w:hint="eastAsia" w:ascii="方正仿宋_GBK" w:hAnsi="方正仿宋_GBK" w:eastAsia="方正仿宋_GBK" w:cs="宋体"/>
          <w:sz w:val="24"/>
        </w:rPr>
        <w:t>为保障您便捷快速办税缴费，建议您优先选择“掌上办”方式。确需到办税服务厅办理，您可先拨打咨询电话，避免业务高峰期等候，我们为您提供预约服务和延时服务，如有问题可拨打12256咨询投诉。</w:t>
      </w:r>
    </w:p>
    <w:p>
      <w:pPr>
        <w:pStyle w:val="4"/>
        <w:ind w:firstLine="640" w:firstLineChars="200"/>
        <w:rPr>
          <w:rFonts w:ascii="方正仿宋_GBK" w:hAnsi="方正仿宋_GBK" w:eastAsia="方正仿宋_GBK"/>
        </w:rPr>
      </w:pPr>
      <w:r>
        <w:rPr>
          <w:rFonts w:hint="eastAsia" w:ascii="方正仿宋_GBK" w:hAnsi="方正仿宋_GBK" w:eastAsia="方正仿宋_GBK"/>
        </w:rPr>
        <w:t>21.</w:t>
      </w:r>
      <w:r>
        <w:rPr>
          <w:rFonts w:ascii="方正仿宋_GBK" w:hAnsi="方正仿宋_GBK" w:eastAsia="方正仿宋_GBK"/>
        </w:rPr>
        <w:t>经营所得个人所得税年度申报</w:t>
      </w:r>
      <w:bookmarkEnd w:id="213"/>
      <w:bookmarkEnd w:id="214"/>
      <w:bookmarkEnd w:id="215"/>
      <w:bookmarkEnd w:id="216"/>
      <w:bookmarkEnd w:id="217"/>
      <w:bookmarkEnd w:id="218"/>
      <w:bookmarkEnd w:id="219"/>
    </w:p>
    <w:p>
      <w:pPr>
        <w:spacing w:line="360" w:lineRule="auto"/>
        <w:ind w:firstLine="480"/>
        <w:jc w:val="left"/>
        <w:rPr>
          <w:rFonts w:ascii="方正仿宋_GBK" w:hAnsi="方正仿宋_GBK" w:eastAsia="方正仿宋_GBK" w:cs="宋体"/>
          <w:sz w:val="24"/>
        </w:rPr>
      </w:pPr>
      <w:r>
        <w:rPr>
          <w:rFonts w:ascii="方正仿宋_GBK" w:hAnsi="方正仿宋_GBK" w:eastAsia="方正仿宋_GBK" w:cs="宋体"/>
          <w:sz w:val="24"/>
        </w:rPr>
        <w:t>纳税人取得经营所得，以每一纳税年度的收入总额减除成本、费用以及损失后的余额，为应纳税所得额，按年计算个人所得税。纳税人在取得所得的次年</w:t>
      </w:r>
      <w:r>
        <w:rPr>
          <w:rFonts w:ascii="方正仿宋_GBK" w:hAnsi="方正仿宋_GBK" w:eastAsia="方正仿宋_GBK"/>
          <w:sz w:val="24"/>
        </w:rPr>
        <w:t>3</w:t>
      </w:r>
      <w:r>
        <w:rPr>
          <w:rFonts w:ascii="方正仿宋_GBK" w:hAnsi="方正仿宋_GBK" w:eastAsia="方正仿宋_GBK" w:cs="宋体"/>
          <w:sz w:val="24"/>
        </w:rPr>
        <w:t>月</w:t>
      </w:r>
      <w:r>
        <w:rPr>
          <w:rFonts w:hint="eastAsia" w:ascii="方正仿宋_GBK" w:hAnsi="方正仿宋_GBK" w:eastAsia="方正仿宋_GBK"/>
          <w:sz w:val="24"/>
        </w:rPr>
        <w:t>22</w:t>
      </w:r>
      <w:r>
        <w:rPr>
          <w:rFonts w:ascii="方正仿宋_GBK" w:hAnsi="方正仿宋_GBK" w:eastAsia="方正仿宋_GBK" w:cs="宋体"/>
          <w:sz w:val="24"/>
        </w:rPr>
        <w:t>日前填报《个人所得税经营所得纳税申报表（B表）》及其他相关资料，向经营管理所在地主管税务机关办理汇算清缴</w:t>
      </w:r>
      <w:r>
        <w:rPr>
          <w:rFonts w:hint="eastAsia" w:ascii="方正仿宋_GBK" w:hAnsi="方正仿宋_GBK" w:eastAsia="方正仿宋_GBK" w:cs="宋体"/>
          <w:sz w:val="24"/>
        </w:rPr>
        <w:t>；</w:t>
      </w:r>
      <w:r>
        <w:rPr>
          <w:rFonts w:ascii="方正仿宋_GBK" w:hAnsi="方正仿宋_GBK" w:eastAsia="方正仿宋_GBK" w:cs="宋体"/>
          <w:sz w:val="24"/>
        </w:rPr>
        <w:t>企业在年度中间合并、分立、终止时，个人独资企业投资者、合伙企业个人合伙人、承包承租经营在停止生产经营之日起</w:t>
      </w:r>
      <w:r>
        <w:rPr>
          <w:rFonts w:ascii="方正仿宋_GBK" w:hAnsi="方正仿宋_GBK" w:eastAsia="方正仿宋_GBK"/>
          <w:sz w:val="24"/>
        </w:rPr>
        <w:t>60</w:t>
      </w:r>
      <w:r>
        <w:rPr>
          <w:rFonts w:ascii="方正仿宋_GBK" w:hAnsi="方正仿宋_GBK" w:eastAsia="方正仿宋_GBK" w:cs="宋体"/>
          <w:sz w:val="24"/>
        </w:rPr>
        <w:t>日内，向主管税务机关办理当期个人所得税汇算清缴。</w:t>
      </w:r>
    </w:p>
    <w:p>
      <w:pPr>
        <w:spacing w:line="360" w:lineRule="auto"/>
        <w:ind w:firstLine="480"/>
        <w:rPr>
          <w:rFonts w:ascii="方正仿宋_GBK" w:hAnsi="方正仿宋_GBK" w:eastAsia="方正仿宋_GBK" w:cs="黑体"/>
          <w:b/>
          <w:bCs/>
          <w:sz w:val="24"/>
        </w:rPr>
      </w:pPr>
      <w:bookmarkStart w:id="220" w:name="_Toc22016"/>
      <w:bookmarkStart w:id="221" w:name="_Toc12721"/>
      <w:bookmarkStart w:id="222" w:name="_Toc23769"/>
      <w:bookmarkStart w:id="223" w:name="_Toc29541"/>
      <w:bookmarkStart w:id="224" w:name="_Toc23926"/>
      <w:bookmarkStart w:id="225" w:name="_Toc8000"/>
      <w:bookmarkStart w:id="226" w:name="_Toc11968"/>
      <w:r>
        <w:rPr>
          <w:rFonts w:hint="eastAsia" w:ascii="方正仿宋_GBK" w:hAnsi="方正仿宋_GBK" w:eastAsia="方正仿宋_GBK" w:cs="黑体"/>
          <w:b/>
          <w:bCs/>
          <w:sz w:val="24"/>
        </w:rPr>
        <w:t>21.1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①《个人所得税经营所得纳税申报表（B表）》（资料来源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②如无综合所得，且需要享受专项附加扣除的，还需提供《个人所得税专项附加扣除信息表》（资料来源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③如纳税人存在减免个人所得税情形的，还需提供《个人所得税减免税事项报告表》（资料来源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④如有依法确定的其他扣除的，还需提供《商业健康保险税前扣除情况明细表》《个人税收递延型商业养老保险税前扣除情况明细表》等相关扣除资料（资料来源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⑤如有对公益慈善事业的捐赠的，还需提供《个人所得税公益慈善捐赠扣除明细表》（资料来源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21.2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21.3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21.4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22.</w:t>
      </w:r>
      <w:r>
        <w:rPr>
          <w:rFonts w:ascii="方正仿宋_GBK" w:hAnsi="方正仿宋_GBK" w:eastAsia="方正仿宋_GBK"/>
        </w:rPr>
        <w:t>居民个人取得综合所得个人所得税预扣预缴申报</w:t>
      </w:r>
      <w:bookmarkEnd w:id="220"/>
      <w:bookmarkEnd w:id="221"/>
      <w:bookmarkEnd w:id="222"/>
      <w:bookmarkEnd w:id="223"/>
      <w:bookmarkEnd w:id="224"/>
      <w:bookmarkEnd w:id="225"/>
      <w:bookmarkEnd w:id="226"/>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扣缴义务人向个人支付所得</w:t>
      </w:r>
      <w:r>
        <w:rPr>
          <w:rFonts w:hint="eastAsia" w:ascii="方正仿宋_GBK" w:hAnsi="方正仿宋_GBK" w:eastAsia="方正仿宋_GBK" w:cs="宋体"/>
          <w:sz w:val="24"/>
        </w:rPr>
        <w:t>，</w:t>
      </w:r>
      <w:r>
        <w:rPr>
          <w:rFonts w:ascii="方正仿宋_GBK" w:hAnsi="方正仿宋_GBK" w:eastAsia="方正仿宋_GBK" w:cs="宋体"/>
          <w:sz w:val="24"/>
        </w:rPr>
        <w:t>按月或者按次预扣预缴税款。扣缴义务人每月或者每次预扣、代扣的税款，在次月</w:t>
      </w:r>
      <w:r>
        <w:rPr>
          <w:rFonts w:hint="eastAsia" w:ascii="方正仿宋_GBK" w:hAnsi="方正仿宋_GBK" w:eastAsia="方正仿宋_GBK" w:cs="宋体"/>
          <w:sz w:val="24"/>
        </w:rPr>
        <w:t>14</w:t>
      </w:r>
      <w:r>
        <w:rPr>
          <w:rFonts w:ascii="方正仿宋_GBK" w:hAnsi="方正仿宋_GBK" w:eastAsia="方正仿宋_GBK" w:cs="宋体"/>
          <w:sz w:val="24"/>
        </w:rPr>
        <w:t>日内，填报《个人所得税扣缴申报表》及其他相关资料，向税务机关纳税申报并缴入国库。</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22.1  需提供要件</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①《个人所得税扣缴申报表》（资料来源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②如果是首次办理扣缴申报时或被扣缴义务人信息变更后，还需提供《个人所得税基础信息表（A表）》（资料来源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③如有依法确定的其他扣除，还需提供《商业健康保险税前扣除情况明细表》《个人税收递延型商业养老保险税前扣除情况明细表》等相关扣除资料（资料来源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④如选择在工资、薪金所得预扣预缴个人所得税时享受的七项专项附加扣除，还需提供《个人所得税专项附加扣除信息表》（资料来源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微软雅黑"/>
          <w:sz w:val="24"/>
        </w:rPr>
      </w:pPr>
      <w:r>
        <w:rPr>
          <w:rFonts w:hint="eastAsia" w:ascii="方正仿宋_GBK" w:hAnsi="方正仿宋_GBK" w:eastAsia="方正仿宋_GBK" w:cs="微软雅黑"/>
          <w:sz w:val="24"/>
        </w:rPr>
        <w:t>⑤如纳税人存在减免个人所得税情形，还需提供《个人所得税减免税事项报告表》（资料来源</w:t>
      </w:r>
      <w:r>
        <w:rPr>
          <w:rFonts w:ascii="方正仿宋_GBK" w:hAnsi="方正仿宋_GBK" w:eastAsia="方正仿宋_GBK" w:cs="微软雅黑"/>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27" w:name="_Toc128733563"/>
      <w:bookmarkStart w:id="228" w:name="_Toc26620"/>
      <w:bookmarkStart w:id="229" w:name="_Toc7543"/>
      <w:bookmarkStart w:id="230" w:name="_Toc7434"/>
      <w:bookmarkStart w:id="231" w:name="_Toc5559"/>
      <w:bookmarkStart w:id="232" w:name="_Toc127989059"/>
      <w:bookmarkStart w:id="233" w:name="_Toc11096"/>
      <w:bookmarkStart w:id="234" w:name="_Toc7567"/>
      <w:bookmarkStart w:id="235" w:name="_Toc10354"/>
      <w:r>
        <w:rPr>
          <w:rFonts w:hint="eastAsia" w:ascii="方正仿宋_GBK" w:hAnsi="方正仿宋_GBK" w:eastAsia="方正仿宋_GBK" w:cs="黑体"/>
          <w:b/>
          <w:bCs/>
          <w:sz w:val="24"/>
          <w:szCs w:val="24"/>
        </w:rPr>
        <w:t>22.2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辽宁省自然人电子税务局：</w:t>
      </w:r>
      <w:r>
        <w:fldChar w:fldCharType="begin"/>
      </w:r>
      <w:r>
        <w:instrText xml:space="preserve"> HYPERLINK "https://etax.chinatax.gov.cn/" </w:instrText>
      </w:r>
      <w:r>
        <w:fldChar w:fldCharType="separate"/>
      </w:r>
      <w:r>
        <w:rPr>
          <w:rStyle w:val="17"/>
          <w:rFonts w:hint="eastAsia" w:ascii="方正仿宋_GBK" w:hAnsi="方正仿宋_GBK" w:eastAsia="方正仿宋_GBK" w:cs="宋体"/>
          <w:sz w:val="24"/>
          <w:szCs w:val="24"/>
          <w:u w:val="none"/>
        </w:rPr>
        <w:t>https://etax.chinatax.gov.cn/</w:t>
      </w:r>
      <w:r>
        <w:rPr>
          <w:rStyle w:val="17"/>
          <w:rFonts w:hint="eastAsia" w:ascii="方正仿宋_GBK" w:hAnsi="方正仿宋_GBK" w:eastAsia="方正仿宋_GBK" w:cs="宋体"/>
          <w:sz w:val="24"/>
          <w:szCs w:val="24"/>
          <w:u w:val="none"/>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22.3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r>
        <w:rPr>
          <w:rFonts w:hint="eastAsia" w:ascii="方正仿宋_GBK" w:hAnsi="方正仿宋_GBK" w:eastAsia="方正仿宋_GBK"/>
        </w:rPr>
        <w:t xml:space="preserve">九、 </w:t>
      </w:r>
      <w:r>
        <w:rPr>
          <w:rFonts w:ascii="方正仿宋_GBK" w:hAnsi="方正仿宋_GBK" w:eastAsia="方正仿宋_GBK"/>
        </w:rPr>
        <w:t xml:space="preserve"> 信用评价</w:t>
      </w:r>
      <w:bookmarkEnd w:id="227"/>
      <w:bookmarkEnd w:id="228"/>
      <w:bookmarkEnd w:id="229"/>
      <w:bookmarkEnd w:id="230"/>
      <w:bookmarkEnd w:id="231"/>
      <w:bookmarkEnd w:id="232"/>
      <w:bookmarkEnd w:id="233"/>
      <w:bookmarkEnd w:id="234"/>
      <w:bookmarkEnd w:id="235"/>
    </w:p>
    <w:p>
      <w:pPr>
        <w:pStyle w:val="4"/>
        <w:ind w:firstLine="640" w:firstLineChars="200"/>
        <w:rPr>
          <w:rFonts w:ascii="方正仿宋_GBK" w:hAnsi="方正仿宋_GBK" w:eastAsia="方正仿宋_GBK"/>
        </w:rPr>
      </w:pPr>
      <w:bookmarkStart w:id="236" w:name="_Toc6685"/>
      <w:bookmarkStart w:id="237" w:name="_Toc22488"/>
      <w:bookmarkStart w:id="238" w:name="_Toc11045"/>
      <w:bookmarkStart w:id="239" w:name="_Toc21572"/>
      <w:bookmarkStart w:id="240" w:name="_Toc18215"/>
      <w:bookmarkStart w:id="241" w:name="_Toc21526"/>
      <w:bookmarkStart w:id="242" w:name="_Toc127989063"/>
      <w:bookmarkStart w:id="243" w:name="_Toc20850"/>
      <w:r>
        <w:rPr>
          <w:rFonts w:hint="eastAsia" w:ascii="方正仿宋_GBK" w:hAnsi="方正仿宋_GBK" w:eastAsia="方正仿宋_GBK"/>
        </w:rPr>
        <w:t>23.纳税信用修复</w:t>
      </w:r>
      <w:bookmarkEnd w:id="236"/>
      <w:bookmarkEnd w:id="237"/>
      <w:bookmarkEnd w:id="238"/>
      <w:bookmarkEnd w:id="239"/>
      <w:bookmarkEnd w:id="240"/>
      <w:bookmarkEnd w:id="241"/>
      <w:bookmarkEnd w:id="242"/>
      <w:bookmarkEnd w:id="243"/>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纳税人纳入纳税信用管理的，符合信用修复条件的，可在规定期限内向主管税务机关申请纳税信用修复。</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23.1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Cs w:val="21"/>
        </w:rPr>
        <w:t>《纳税信用修复申请表》（资料来源</w:t>
      </w:r>
      <w:r>
        <w:rPr>
          <w:rFonts w:ascii="方正仿宋_GBK" w:hAnsi="方正仿宋_GBK" w:eastAsia="方正仿宋_GBK" w:cs="宋体"/>
          <w:szCs w:val="21"/>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szCs w:val="24"/>
        </w:rPr>
      </w:pPr>
      <w:bookmarkStart w:id="244" w:name="_Toc672"/>
      <w:bookmarkStart w:id="245" w:name="_Toc23439"/>
      <w:bookmarkStart w:id="246" w:name="_Toc21268"/>
      <w:bookmarkStart w:id="247" w:name="_Toc11119"/>
      <w:bookmarkStart w:id="248" w:name="_Toc25873"/>
      <w:bookmarkStart w:id="249" w:name="_Toc20539"/>
      <w:bookmarkStart w:id="250" w:name="_Toc128733564"/>
      <w:bookmarkStart w:id="251" w:name="_Toc7300"/>
      <w:bookmarkStart w:id="252" w:name="_Toc127989085"/>
      <w:r>
        <w:rPr>
          <w:rFonts w:hint="eastAsia" w:ascii="方正仿宋_GBK" w:hAnsi="方正仿宋_GBK" w:eastAsia="方正仿宋_GBK" w:cs="黑体"/>
          <w:b/>
          <w:bCs/>
          <w:sz w:val="24"/>
          <w:szCs w:val="24"/>
        </w:rPr>
        <w:t>23.2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23.3  办理时限：</w:t>
      </w:r>
      <w:r>
        <w:rPr>
          <w:rFonts w:hint="eastAsia" w:ascii="方正仿宋_GBK" w:hAnsi="方正仿宋_GBK" w:eastAsia="方正仿宋_GBK" w:cs="宋体"/>
          <w:sz w:val="24"/>
        </w:rPr>
        <w:t>10个工作日</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23.4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r>
        <w:rPr>
          <w:rFonts w:hint="eastAsia" w:ascii="方正仿宋_GBK" w:hAnsi="方正仿宋_GBK" w:eastAsia="方正仿宋_GBK"/>
        </w:rPr>
        <w:t>十、 税务注销</w:t>
      </w:r>
      <w:bookmarkEnd w:id="244"/>
      <w:bookmarkEnd w:id="245"/>
      <w:bookmarkEnd w:id="246"/>
      <w:bookmarkEnd w:id="247"/>
      <w:bookmarkEnd w:id="248"/>
      <w:bookmarkEnd w:id="249"/>
      <w:bookmarkEnd w:id="250"/>
      <w:bookmarkEnd w:id="251"/>
      <w:bookmarkEnd w:id="252"/>
    </w:p>
    <w:p>
      <w:pPr>
        <w:pStyle w:val="4"/>
        <w:ind w:firstLine="640" w:firstLineChars="200"/>
        <w:rPr>
          <w:rFonts w:ascii="方正仿宋_GBK" w:hAnsi="方正仿宋_GBK" w:eastAsia="方正仿宋_GBK"/>
        </w:rPr>
      </w:pPr>
      <w:bookmarkStart w:id="253" w:name="_Toc22528"/>
      <w:bookmarkStart w:id="254" w:name="_Toc19524"/>
      <w:bookmarkStart w:id="255" w:name="_Toc127989091"/>
      <w:bookmarkStart w:id="256" w:name="_Toc12267"/>
      <w:bookmarkStart w:id="257" w:name="_Toc10996"/>
      <w:bookmarkStart w:id="258" w:name="_Toc10479"/>
      <w:bookmarkStart w:id="259" w:name="_Toc18771"/>
      <w:bookmarkStart w:id="260" w:name="_Toc30778"/>
      <w:r>
        <w:rPr>
          <w:rFonts w:hint="eastAsia" w:ascii="方正仿宋_GBK" w:hAnsi="方正仿宋_GBK" w:eastAsia="方正仿宋_GBK"/>
        </w:rPr>
        <w:t>24.税务注销即时办理</w:t>
      </w:r>
      <w:bookmarkEnd w:id="253"/>
      <w:bookmarkEnd w:id="254"/>
      <w:bookmarkEnd w:id="255"/>
      <w:bookmarkEnd w:id="256"/>
      <w:bookmarkEnd w:id="257"/>
      <w:bookmarkEnd w:id="258"/>
      <w:bookmarkEnd w:id="259"/>
      <w:bookmarkEnd w:id="260"/>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纳税人未办理过涉税事宜</w:t>
      </w:r>
      <w:r>
        <w:rPr>
          <w:rFonts w:hint="eastAsia" w:ascii="方正仿宋_GBK" w:hAnsi="方正仿宋_GBK" w:eastAsia="方正仿宋_GBK" w:cs="宋体"/>
          <w:sz w:val="24"/>
        </w:rPr>
        <w:t>或</w:t>
      </w:r>
      <w:r>
        <w:rPr>
          <w:rFonts w:ascii="方正仿宋_GBK" w:hAnsi="方正仿宋_GBK" w:eastAsia="方正仿宋_GBK" w:cs="宋体"/>
          <w:sz w:val="24"/>
        </w:rPr>
        <w:t>办理过涉税事宜但未领用发票、无欠税（滞纳金）及罚款</w:t>
      </w:r>
      <w:r>
        <w:rPr>
          <w:rFonts w:hint="eastAsia" w:ascii="方正仿宋_GBK" w:hAnsi="方正仿宋_GBK" w:eastAsia="方正仿宋_GBK" w:cs="宋体"/>
          <w:sz w:val="24"/>
        </w:rPr>
        <w:t>和</w:t>
      </w:r>
      <w:r>
        <w:rPr>
          <w:rFonts w:ascii="方正仿宋_GBK" w:hAnsi="方正仿宋_GBK" w:eastAsia="方正仿宋_GBK" w:cs="宋体"/>
          <w:sz w:val="24"/>
        </w:rPr>
        <w:t>未处于税务检查状态、无欠税（滞纳金）及罚款、已缴销增值税专用发票及税控专用设备，且符合</w:t>
      </w:r>
      <w:r>
        <w:rPr>
          <w:rFonts w:hint="eastAsia" w:ascii="方正仿宋_GBK" w:hAnsi="方正仿宋_GBK" w:eastAsia="方正仿宋_GBK" w:cs="宋体"/>
          <w:sz w:val="24"/>
        </w:rPr>
        <w:t>特定情形的，办理税务注销时可即时办理</w:t>
      </w:r>
      <w:r>
        <w:rPr>
          <w:rFonts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24.1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已实行“一照一码”“两证整合”登记模式的纳税人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提交《清税申报表》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未实行“一照一码”“两证整合”登记模式的纳税人</w:t>
      </w:r>
      <w:r>
        <w:rPr>
          <w:rFonts w:hint="eastAsia" w:ascii="方正仿宋_GBK" w:hAnsi="方正仿宋_GBK" w:eastAsia="方正仿宋_GBK" w:cs="宋体"/>
          <w:sz w:val="24"/>
        </w:rPr>
        <w:t>，需</w:t>
      </w:r>
      <w:r>
        <w:rPr>
          <w:rFonts w:ascii="方正仿宋_GBK" w:hAnsi="方正仿宋_GBK" w:eastAsia="方正仿宋_GBK" w:cs="宋体"/>
          <w:sz w:val="24"/>
        </w:rPr>
        <w:t>提交《注销税务登记申请表》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经办人身份证件原件</w:t>
      </w:r>
      <w:r>
        <w:rPr>
          <w:rFonts w:hint="eastAsia" w:ascii="方正仿宋_GBK" w:hAnsi="方正仿宋_GBK" w:eastAsia="方正仿宋_GBK" w:cs="宋体"/>
          <w:sz w:val="24"/>
        </w:rPr>
        <w:t>（资料来源：纳税人）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④</w:t>
      </w:r>
      <w:r>
        <w:rPr>
          <w:rFonts w:ascii="方正仿宋_GBK" w:hAnsi="方正仿宋_GBK" w:eastAsia="方正仿宋_GBK" w:cs="宋体"/>
          <w:sz w:val="24"/>
        </w:rPr>
        <w:t>未办理过涉税事宜的纳税人</w:t>
      </w:r>
      <w:r>
        <w:rPr>
          <w:rFonts w:hint="eastAsia" w:ascii="方正仿宋_GBK" w:hAnsi="方正仿宋_GBK" w:eastAsia="方正仿宋_GBK" w:cs="宋体"/>
          <w:sz w:val="24"/>
        </w:rPr>
        <w:t>的，还需提供</w:t>
      </w:r>
      <w:r>
        <w:rPr>
          <w:rFonts w:ascii="方正仿宋_GBK" w:hAnsi="方正仿宋_GBK" w:eastAsia="方正仿宋_GBK" w:cs="宋体"/>
          <w:sz w:val="24"/>
        </w:rPr>
        <w:t>加载统一社会信用代码的营业执照（或组织机构代码证等）原件</w:t>
      </w:r>
      <w:r>
        <w:rPr>
          <w:rFonts w:hint="eastAsia" w:ascii="方正仿宋_GBK" w:hAnsi="方正仿宋_GBK" w:eastAsia="方正仿宋_GBK" w:cs="宋体"/>
          <w:sz w:val="24"/>
        </w:rPr>
        <w:t>（资料来源：纳税人或市场监督管理局）</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⑤</w:t>
      </w:r>
      <w:r>
        <w:rPr>
          <w:rFonts w:ascii="方正仿宋_GBK" w:hAnsi="方正仿宋_GBK" w:eastAsia="方正仿宋_GBK" w:cs="宋体"/>
          <w:sz w:val="24"/>
        </w:rPr>
        <w:t>经人民法院裁定宣告破产的</w:t>
      </w:r>
      <w:r>
        <w:rPr>
          <w:rFonts w:hint="eastAsia" w:ascii="方正仿宋_GBK" w:hAnsi="方正仿宋_GBK" w:eastAsia="方正仿宋_GBK" w:cs="宋体"/>
          <w:sz w:val="24"/>
        </w:rPr>
        <w:t>，</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人民法院终结破产程序裁定书</w:t>
      </w:r>
      <w:r>
        <w:rPr>
          <w:rFonts w:hint="eastAsia" w:ascii="方正仿宋_GBK" w:hAnsi="方正仿宋_GBK" w:eastAsia="方正仿宋_GBK" w:cs="宋体"/>
          <w:sz w:val="24"/>
        </w:rPr>
        <w:t>或判决书复印件（资料来源：纳税人或人民法院）</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24.2  办理路径</w:t>
      </w:r>
    </w:p>
    <w:p>
      <w:pPr>
        <w:spacing w:line="360" w:lineRule="auto"/>
        <w:ind w:firstLine="480" w:firstLineChars="200"/>
        <w:rPr>
          <w:rFonts w:ascii="方正仿宋_GBK" w:hAnsi="方正仿宋_GBK" w:eastAsia="方正仿宋_GBK"/>
        </w:rPr>
      </w:pPr>
      <w:r>
        <w:rPr>
          <w:rFonts w:hint="eastAsia" w:ascii="方正仿宋_GBK" w:hAnsi="方正仿宋_GBK" w:eastAsia="方正仿宋_GBK" w:cs="微软雅黑"/>
          <w:b/>
          <w:bCs/>
          <w:sz w:val="24"/>
        </w:rPr>
        <w:t>①窗口办：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rPr>
          <w:rFonts w:ascii="方正仿宋_GBK" w:hAnsi="方正仿宋_GBK" w:eastAsia="方正仿宋_GBK" w:cs="宋体"/>
          <w:sz w:val="24"/>
        </w:rPr>
      </w:pPr>
      <w:r>
        <w:rPr>
          <w:rFonts w:hint="eastAsia" w:ascii="方正仿宋_GBK" w:hAnsi="方正仿宋_GBK" w:eastAsia="方正仿宋_GBK" w:cs="微软雅黑"/>
          <w:b/>
          <w:bCs/>
          <w:sz w:val="24"/>
        </w:rPr>
        <w:t>②网上办：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hint="eastAsia" w:ascii="方正仿宋_GBK" w:hAnsi="方正仿宋_GBK" w:eastAsia="方正仿宋_GBK" w:cs="宋体"/>
          <w:sz w:val="24"/>
        </w:rPr>
        <w:t>https://etax.liaoning.chinatax.gov.cn/</w:t>
      </w:r>
      <w:r>
        <w:rPr>
          <w:rFonts w:hint="eastAsia" w:ascii="方正仿宋_GBK" w:hAnsi="方正仿宋_GBK" w:eastAsia="方正仿宋_GBK" w:cs="宋体"/>
          <w:sz w:val="24"/>
        </w:rPr>
        <w:fldChar w:fldCharType="end"/>
      </w:r>
    </w:p>
    <w:p>
      <w:pPr>
        <w:spacing w:line="360" w:lineRule="auto"/>
        <w:ind w:firstLine="420" w:firstLineChars="200"/>
        <w:jc w:val="center"/>
        <w:rPr>
          <w:rFonts w:ascii="方正仿宋_GBK" w:hAnsi="方正仿宋_GBK" w:eastAsia="方正仿宋_GBK" w:cs="宋体"/>
          <w:sz w:val="24"/>
        </w:rPr>
      </w:pPr>
      <w:r>
        <w:rPr>
          <w:rFonts w:ascii="方正仿宋_GBK" w:hAnsi="方正仿宋_GBK" w:eastAsia="方正仿宋_GBK"/>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pPr>
        <w:spacing w:line="360" w:lineRule="auto"/>
        <w:ind w:firstLine="480"/>
        <w:rPr>
          <w:rFonts w:ascii="方正仿宋_GBK" w:hAnsi="方正仿宋_GBK" w:eastAsia="方正仿宋_GBK" w:cs="宋体"/>
          <w:sz w:val="24"/>
        </w:rPr>
      </w:pPr>
      <w:bookmarkStart w:id="261" w:name="_Toc31202"/>
      <w:bookmarkStart w:id="262" w:name="_Toc1799"/>
      <w:bookmarkStart w:id="263" w:name="_Toc18207"/>
      <w:bookmarkStart w:id="264" w:name="_Toc4631"/>
      <w:bookmarkStart w:id="265" w:name="_Toc30775"/>
      <w:bookmarkStart w:id="266" w:name="_Toc20386"/>
      <w:bookmarkStart w:id="267" w:name="_Toc20496"/>
      <w:bookmarkStart w:id="268" w:name="_Toc128733565"/>
      <w:r>
        <w:rPr>
          <w:rFonts w:hint="eastAsia" w:ascii="方正仿宋_GBK" w:hAnsi="方正仿宋_GBK" w:eastAsia="方正仿宋_GBK" w:cs="黑体"/>
          <w:b/>
          <w:bCs/>
          <w:sz w:val="24"/>
          <w:szCs w:val="24"/>
        </w:rPr>
        <w:t>24.3  办理时限：</w:t>
      </w:r>
      <w:r>
        <w:rPr>
          <w:rFonts w:hint="eastAsia" w:ascii="方正仿宋_GBK" w:hAnsi="方正仿宋_GBK" w:eastAsia="方正仿宋_GBK" w:cs="宋体"/>
          <w:sz w:val="24"/>
        </w:rPr>
        <w:t>即时办结</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24.4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为保障您便捷快速办税缴费，建议您优先选择“网上办”方式。确需到办税服务厅办理，您可先拨打咨询电话，避免业务高峰期等候，我们为您提供预约服务和延时服务，如有问题可拨打12256咨询投诉。</w:t>
      </w:r>
    </w:p>
    <w:p>
      <w:pPr>
        <w:pStyle w:val="3"/>
        <w:rPr>
          <w:rFonts w:ascii="方正仿宋_GBK" w:hAnsi="方正仿宋_GBK" w:eastAsia="方正仿宋_GBK"/>
        </w:rPr>
      </w:pPr>
      <w:r>
        <w:rPr>
          <w:rFonts w:hint="eastAsia" w:ascii="方正仿宋_GBK" w:hAnsi="方正仿宋_GBK" w:eastAsia="方正仿宋_GBK"/>
        </w:rPr>
        <w:t xml:space="preserve">十一、  </w:t>
      </w:r>
      <w:r>
        <w:rPr>
          <w:rFonts w:ascii="方正仿宋_GBK" w:hAnsi="方正仿宋_GBK" w:eastAsia="方正仿宋_GBK"/>
        </w:rPr>
        <w:t>涉税信息查询</w:t>
      </w:r>
      <w:bookmarkEnd w:id="261"/>
      <w:bookmarkEnd w:id="262"/>
      <w:bookmarkEnd w:id="263"/>
      <w:bookmarkEnd w:id="264"/>
      <w:bookmarkEnd w:id="265"/>
      <w:bookmarkEnd w:id="266"/>
      <w:bookmarkEnd w:id="267"/>
      <w:bookmarkEnd w:id="268"/>
    </w:p>
    <w:p>
      <w:pPr>
        <w:pStyle w:val="4"/>
        <w:ind w:firstLine="640" w:firstLineChars="200"/>
        <w:rPr>
          <w:rFonts w:ascii="方正仿宋_GBK" w:hAnsi="方正仿宋_GBK" w:eastAsia="方正仿宋_GBK"/>
        </w:rPr>
      </w:pPr>
      <w:bookmarkStart w:id="269" w:name="_Toc127989131"/>
      <w:bookmarkStart w:id="270" w:name="_Toc11866"/>
      <w:bookmarkStart w:id="271" w:name="_Toc27153"/>
      <w:bookmarkStart w:id="272" w:name="_Toc5993"/>
      <w:bookmarkStart w:id="273" w:name="_Toc1153"/>
      <w:bookmarkStart w:id="274" w:name="_Toc6797"/>
      <w:bookmarkStart w:id="275" w:name="_Toc14247"/>
      <w:bookmarkStart w:id="276" w:name="_Toc3318"/>
      <w:r>
        <w:rPr>
          <w:rFonts w:hint="eastAsia" w:ascii="方正仿宋_GBK" w:hAnsi="方正仿宋_GBK" w:eastAsia="方正仿宋_GBK"/>
        </w:rPr>
        <w:t>25.纳税人涉税信息查询</w:t>
      </w:r>
      <w:bookmarkEnd w:id="269"/>
      <w:r>
        <w:rPr>
          <w:rFonts w:hint="eastAsia" w:ascii="方正仿宋_GBK" w:hAnsi="方正仿宋_GBK" w:eastAsia="方正仿宋_GBK"/>
        </w:rPr>
        <w:t>（书面申请）</w:t>
      </w:r>
      <w:bookmarkEnd w:id="270"/>
      <w:bookmarkEnd w:id="271"/>
      <w:bookmarkEnd w:id="272"/>
      <w:bookmarkEnd w:id="273"/>
      <w:bookmarkEnd w:id="274"/>
      <w:bookmarkEnd w:id="275"/>
      <w:bookmarkEnd w:id="276"/>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w:t>
      </w:r>
      <w:r>
        <w:rPr>
          <w:rFonts w:hint="eastAsia" w:ascii="方正仿宋_GBK" w:hAnsi="方正仿宋_GBK" w:eastAsia="方正仿宋_GBK" w:cs="宋体"/>
          <w:sz w:val="24"/>
        </w:rPr>
        <w:t>书面查询</w:t>
      </w:r>
      <w:r>
        <w:rPr>
          <w:rFonts w:ascii="方正仿宋_GBK" w:hAnsi="方正仿宋_GBK" w:eastAsia="方正仿宋_GBK" w:cs="宋体"/>
          <w:sz w:val="24"/>
        </w:rPr>
        <w:t>自身涉税信息</w:t>
      </w:r>
      <w:r>
        <w:rPr>
          <w:rFonts w:hint="eastAsia" w:ascii="方正仿宋_GBK" w:hAnsi="方正仿宋_GBK" w:eastAsia="方正仿宋_GBK" w:cs="宋体"/>
          <w:sz w:val="24"/>
        </w:rPr>
        <w:t>的，</w:t>
      </w:r>
      <w:r>
        <w:rPr>
          <w:rFonts w:ascii="方正仿宋_GBK" w:hAnsi="方正仿宋_GBK" w:eastAsia="方正仿宋_GBK" w:cs="宋体"/>
          <w:sz w:val="24"/>
        </w:rPr>
        <w:t>税务机关依照法律法规的规定提供查询服务。</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25.1  需提供要件</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纳税人书面申请查询：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纳税人本人（法定代表人或主要负责人）有效身份证明原件及复印件</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授权他人委托查询</w:t>
      </w:r>
      <w:r>
        <w:rPr>
          <w:rFonts w:hint="eastAsia" w:ascii="方正仿宋_GBK" w:hAnsi="方正仿宋_GBK" w:eastAsia="方正仿宋_GBK" w:cs="宋体"/>
          <w:sz w:val="24"/>
        </w:rPr>
        <w:t>的，</w:t>
      </w:r>
      <w:r>
        <w:rPr>
          <w:rFonts w:ascii="方正仿宋_GBK" w:hAnsi="方正仿宋_GBK" w:eastAsia="方正仿宋_GBK" w:cs="宋体"/>
          <w:sz w:val="24"/>
        </w:rPr>
        <w:t>还</w:t>
      </w:r>
      <w:r>
        <w:rPr>
          <w:rFonts w:hint="eastAsia" w:ascii="方正仿宋_GBK" w:hAnsi="方正仿宋_GBK" w:eastAsia="方正仿宋_GBK" w:cs="宋体"/>
          <w:sz w:val="24"/>
        </w:rPr>
        <w:t>需提供</w:t>
      </w:r>
      <w:r>
        <w:rPr>
          <w:rFonts w:ascii="方正仿宋_GBK" w:hAnsi="方正仿宋_GBK" w:eastAsia="方正仿宋_GBK" w:cs="宋体"/>
          <w:sz w:val="24"/>
        </w:rPr>
        <w:t>经办人员有效身份证明原件及复印件</w:t>
      </w:r>
      <w:r>
        <w:rPr>
          <w:rFonts w:hint="eastAsia" w:ascii="方正仿宋_GBK" w:hAnsi="方正仿宋_GBK" w:eastAsia="方正仿宋_GBK" w:cs="宋体"/>
          <w:sz w:val="24"/>
        </w:rPr>
        <w:t>和</w:t>
      </w:r>
      <w:r>
        <w:rPr>
          <w:rFonts w:ascii="方正仿宋_GBK" w:hAnsi="方正仿宋_GBK" w:eastAsia="方正仿宋_GBK" w:cs="宋体"/>
          <w:sz w:val="24"/>
        </w:rPr>
        <w:t>由纳税人本人（法定代表人或主要负责人）签章的授权委托书</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⑵</w:t>
      </w:r>
      <w:r>
        <w:rPr>
          <w:rFonts w:ascii="方正仿宋_GBK" w:hAnsi="方正仿宋_GBK" w:eastAsia="方正仿宋_GBK" w:cs="宋体"/>
          <w:sz w:val="24"/>
        </w:rPr>
        <w:t>纳税人对查询结果有异议，向税务机关申请核实：</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《涉税信息查询结果核实申请表》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原涉税信息查询结果</w:t>
      </w:r>
      <w:r>
        <w:rPr>
          <w:rFonts w:hint="eastAsia" w:ascii="方正仿宋_GBK" w:hAnsi="方正仿宋_GBK" w:eastAsia="方正仿宋_GBK" w:cs="宋体"/>
          <w:sz w:val="24"/>
        </w:rPr>
        <w:t>（资料来源：查询人）</w:t>
      </w:r>
    </w:p>
    <w:p>
      <w:pPr>
        <w:spacing w:line="48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相关证明资料</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25.2  办理路径</w:t>
      </w:r>
    </w:p>
    <w:p>
      <w:pPr>
        <w:spacing w:line="360" w:lineRule="auto"/>
        <w:ind w:firstLine="480" w:firstLineChars="200"/>
        <w:rPr>
          <w:rFonts w:ascii="方正仿宋_GBK" w:hAnsi="方正仿宋_GBK" w:eastAsia="方正仿宋_GBK" w:cs="宋体"/>
          <w:sz w:val="24"/>
          <w:szCs w:val="24"/>
        </w:rPr>
      </w:pPr>
      <w:r>
        <w:rPr>
          <w:rFonts w:hint="eastAsia" w:ascii="方正仿宋_GBK" w:hAnsi="方正仿宋_GBK" w:eastAsia="方正仿宋_GBK" w:cs="微软雅黑"/>
          <w:b/>
          <w:bCs/>
          <w:sz w:val="24"/>
        </w:rPr>
        <w:t>窗口办：</w:t>
      </w:r>
      <w:r>
        <w:rPr>
          <w:rFonts w:hint="eastAsia" w:ascii="方正仿宋_GBK" w:hAnsi="方正仿宋_GBK" w:eastAsia="方正仿宋_GBK" w:cs="宋体"/>
          <w:sz w:val="24"/>
          <w:szCs w:val="24"/>
        </w:rPr>
        <w:t>丹东边境经济合作区税务局办税服务厅</w:t>
      </w:r>
    </w:p>
    <w:p>
      <w:pPr>
        <w:spacing w:line="360" w:lineRule="auto"/>
        <w:ind w:firstLine="480" w:firstLineChars="200"/>
        <w:jc w:val="center"/>
        <w:rPr>
          <w:rFonts w:ascii="方正仿宋_GBK" w:hAnsi="方正仿宋_GBK" w:eastAsia="方正仿宋_GBK" w:cs="宋体"/>
          <w:sz w:val="24"/>
          <w:szCs w:val="24"/>
        </w:rPr>
      </w:pP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25.3  办理时限：</w:t>
      </w:r>
      <w:r>
        <w:rPr>
          <w:rFonts w:hint="eastAsia" w:ascii="方正仿宋_GBK" w:hAnsi="方正仿宋_GBK" w:eastAsia="方正仿宋_GBK" w:cs="宋体"/>
          <w:sz w:val="24"/>
          <w:szCs w:val="24"/>
        </w:rPr>
        <w:t>17个工作日</w:t>
      </w:r>
    </w:p>
    <w:p>
      <w:pPr>
        <w:spacing w:line="360" w:lineRule="auto"/>
        <w:ind w:firstLine="480"/>
        <w:rPr>
          <w:rFonts w:ascii="方正仿宋_GBK" w:hAnsi="方正仿宋_GBK" w:eastAsia="方正仿宋_GBK" w:cs="宋体"/>
          <w:sz w:val="24"/>
          <w:szCs w:val="24"/>
        </w:rPr>
      </w:pPr>
      <w:r>
        <w:rPr>
          <w:rFonts w:hint="eastAsia" w:ascii="方正仿宋_GBK" w:hAnsi="方正仿宋_GBK" w:eastAsia="方正仿宋_GBK" w:cs="黑体"/>
          <w:b/>
          <w:bCs/>
          <w:sz w:val="24"/>
          <w:szCs w:val="24"/>
        </w:rPr>
        <w:t>25.4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为保障您便捷快速办税缴费，您可先拨打办税服务厅咨询电话，避免业务高峰期等候，我们为您提供预约服务和延时服务，如有问题可拨打12256咨询投诉。</w:t>
      </w:r>
    </w:p>
    <w:p>
      <w:pPr>
        <w:pStyle w:val="4"/>
        <w:rPr>
          <w:rFonts w:ascii="方正仿宋_GBK" w:hAnsi="方正仿宋_GBK" w:eastAsia="方正仿宋_GBK"/>
        </w:rPr>
      </w:pPr>
      <w:r>
        <w:rPr>
          <w:rFonts w:hint="eastAsia" w:ascii="方正仿宋_GBK" w:hAnsi="方正仿宋_GBK" w:eastAsia="方正仿宋_GBK"/>
        </w:rPr>
        <w:t>26.第三方涉税保密信息查询</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查询人为</w:t>
      </w:r>
      <w:r>
        <w:rPr>
          <w:rFonts w:ascii="方正仿宋_GBK" w:hAnsi="方正仿宋_GBK" w:eastAsia="方正仿宋_GBK" w:cs="宋体"/>
          <w:sz w:val="24"/>
        </w:rPr>
        <w:t>人民法院、人民检察院、公安机关、审计机关、抵押权人、质权人等单位和个人</w:t>
      </w:r>
      <w:r>
        <w:rPr>
          <w:rFonts w:hint="eastAsia" w:ascii="方正仿宋_GBK" w:hAnsi="方正仿宋_GBK" w:eastAsia="方正仿宋_GBK" w:cs="宋体"/>
          <w:sz w:val="24"/>
        </w:rPr>
        <w:t>的，</w:t>
      </w:r>
      <w:r>
        <w:rPr>
          <w:rFonts w:ascii="方正仿宋_GBK" w:hAnsi="方正仿宋_GBK" w:eastAsia="方正仿宋_GBK" w:cs="宋体"/>
          <w:sz w:val="24"/>
        </w:rPr>
        <w:t>税务机关根据法律法规规定，依申请向</w:t>
      </w:r>
      <w:r>
        <w:rPr>
          <w:rFonts w:hint="eastAsia" w:ascii="方正仿宋_GBK" w:hAnsi="方正仿宋_GBK" w:eastAsia="方正仿宋_GBK" w:cs="宋体"/>
          <w:sz w:val="24"/>
        </w:rPr>
        <w:t>其</w:t>
      </w:r>
      <w:r>
        <w:rPr>
          <w:rFonts w:ascii="方正仿宋_GBK" w:hAnsi="方正仿宋_GBK" w:eastAsia="方正仿宋_GBK" w:cs="宋体"/>
          <w:sz w:val="24"/>
        </w:rPr>
        <w:t>提供涉税保密信息查询服务</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26.1  需提供要件</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⑴</w:t>
      </w:r>
      <w:r>
        <w:rPr>
          <w:rFonts w:ascii="方正仿宋_GBK" w:hAnsi="方正仿宋_GBK" w:eastAsia="方正仿宋_GBK" w:cs="宋体"/>
          <w:sz w:val="24"/>
        </w:rPr>
        <w:t>人民法院、人民检察院、公安机关和审计机关向税务机关提出查询申请：</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w:t>
      </w:r>
      <w:r>
        <w:rPr>
          <w:rFonts w:hint="eastAsia" w:ascii="方正仿宋_GBK" w:hAnsi="方正仿宋_GBK" w:eastAsia="方正仿宋_GBK" w:cs="宋体"/>
          <w:sz w:val="24"/>
        </w:rPr>
        <w:t>或</w:t>
      </w:r>
      <w:r>
        <w:rPr>
          <w:rFonts w:ascii="方正仿宋_GBK" w:hAnsi="方正仿宋_GBK" w:eastAsia="方正仿宋_GBK" w:cs="宋体"/>
          <w:sz w:val="24"/>
        </w:rPr>
        <w:t>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单位介绍信</w:t>
      </w:r>
      <w:r>
        <w:rPr>
          <w:rFonts w:hint="eastAsia" w:ascii="方正仿宋_GBK" w:hAnsi="方正仿宋_GBK" w:eastAsia="方正仿宋_GBK" w:cs="宋体"/>
          <w:sz w:val="24"/>
        </w:rPr>
        <w:t>（资料来源：查询人所在单位）</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查询人有效身份证明原件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方正仿宋_GBK"/>
          <w:b/>
          <w:bCs/>
          <w:sz w:val="24"/>
        </w:rPr>
      </w:pPr>
      <w:r>
        <w:rPr>
          <w:rFonts w:hint="eastAsia" w:ascii="方正仿宋_GBK" w:hAnsi="方正仿宋_GBK" w:eastAsia="方正仿宋_GBK" w:cs="宋体"/>
          <w:sz w:val="24"/>
        </w:rPr>
        <w:t>⑵</w:t>
      </w:r>
      <w:r>
        <w:rPr>
          <w:rFonts w:ascii="方正仿宋_GBK" w:hAnsi="方正仿宋_GBK" w:eastAsia="方正仿宋_GBK" w:cs="宋体"/>
          <w:sz w:val="24"/>
        </w:rPr>
        <w:t>抵押权人、质权人申请查询纳税人欠税有关情况：</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①</w:t>
      </w:r>
      <w:r>
        <w:rPr>
          <w:rFonts w:ascii="方正仿宋_GBK" w:hAnsi="方正仿宋_GBK" w:eastAsia="方正仿宋_GBK" w:cs="宋体"/>
          <w:sz w:val="24"/>
        </w:rPr>
        <w:t>《纳税人、扣缴义务人涉税保密信息查询申请表》</w:t>
      </w:r>
      <w:r>
        <w:rPr>
          <w:rFonts w:hint="eastAsia" w:ascii="方正仿宋_GBK" w:hAnsi="方正仿宋_GBK" w:eastAsia="方正仿宋_GBK" w:cs="宋体"/>
          <w:sz w:val="24"/>
        </w:rPr>
        <w:t>（资料来源</w:t>
      </w:r>
      <w:r>
        <w:rPr>
          <w:rFonts w:ascii="方正仿宋_GBK" w:hAnsi="方正仿宋_GBK" w:eastAsia="方正仿宋_GBK" w:cs="宋体"/>
          <w:sz w:val="24"/>
        </w:rPr>
        <w:t>:各办税服务厅或国家税务总局辽宁省税务局官网http://liaoning.chinatax.gov.cn中—纳税服务—下载中心—表单下载）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②</w:t>
      </w:r>
      <w:r>
        <w:rPr>
          <w:rFonts w:ascii="方正仿宋_GBK" w:hAnsi="方正仿宋_GBK" w:eastAsia="方正仿宋_GBK" w:cs="宋体"/>
          <w:sz w:val="24"/>
        </w:rPr>
        <w:t>查询人</w:t>
      </w:r>
      <w:r>
        <w:rPr>
          <w:rFonts w:hint="eastAsia" w:ascii="方正仿宋_GBK" w:hAnsi="方正仿宋_GBK" w:eastAsia="方正仿宋_GBK" w:cs="宋体"/>
          <w:sz w:val="24"/>
        </w:rPr>
        <w:t>本人</w:t>
      </w:r>
      <w:r>
        <w:rPr>
          <w:rFonts w:ascii="方正仿宋_GBK" w:hAnsi="方正仿宋_GBK" w:eastAsia="方正仿宋_GBK" w:cs="宋体"/>
          <w:sz w:val="24"/>
        </w:rPr>
        <w:t>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③</w:t>
      </w:r>
      <w:r>
        <w:rPr>
          <w:rFonts w:ascii="方正仿宋_GBK" w:hAnsi="方正仿宋_GBK" w:eastAsia="方正仿宋_GBK" w:cs="宋体"/>
          <w:sz w:val="24"/>
        </w:rPr>
        <w:t>合法有效的抵押合同或者质押合同的原件</w:t>
      </w:r>
      <w:r>
        <w:rPr>
          <w:rFonts w:hint="eastAsia" w:ascii="方正仿宋_GBK" w:hAnsi="方正仿宋_GBK" w:eastAsia="方正仿宋_GBK" w:cs="宋体"/>
          <w:sz w:val="24"/>
        </w:rPr>
        <w:t>（</w:t>
      </w:r>
      <w:r>
        <w:rPr>
          <w:rFonts w:ascii="方正仿宋_GBK" w:hAnsi="方正仿宋_GBK" w:eastAsia="方正仿宋_GBK" w:cs="宋体"/>
          <w:sz w:val="24"/>
        </w:rPr>
        <w:t>抵押权人、质权人</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sz w:val="24"/>
        </w:rPr>
        <w:t>④</w:t>
      </w:r>
      <w:r>
        <w:rPr>
          <w:rFonts w:hint="eastAsia" w:ascii="方正仿宋_GBK" w:hAnsi="方正仿宋_GBK" w:eastAsia="方正仿宋_GBK" w:cs="宋体"/>
          <w:sz w:val="24"/>
        </w:rPr>
        <w:t>授权其他人员代为查询的，还需提供</w:t>
      </w:r>
      <w:r>
        <w:rPr>
          <w:rFonts w:ascii="方正仿宋_GBK" w:hAnsi="方正仿宋_GBK" w:eastAsia="方正仿宋_GBK" w:cs="宋体"/>
          <w:sz w:val="24"/>
        </w:rPr>
        <w:t>委托人本人签字的委托授权书</w:t>
      </w:r>
      <w:r>
        <w:rPr>
          <w:rFonts w:hint="eastAsia" w:ascii="方正仿宋_GBK" w:hAnsi="方正仿宋_GBK" w:eastAsia="方正仿宋_GBK" w:cs="宋体"/>
          <w:sz w:val="24"/>
        </w:rPr>
        <w:t>和</w:t>
      </w:r>
      <w:r>
        <w:rPr>
          <w:rFonts w:ascii="方正仿宋_GBK" w:hAnsi="方正仿宋_GBK" w:eastAsia="方正仿宋_GBK" w:cs="宋体"/>
          <w:sz w:val="24"/>
        </w:rPr>
        <w:t>代理人的有效身份证明原件</w:t>
      </w:r>
      <w:r>
        <w:rPr>
          <w:rFonts w:hint="eastAsia" w:ascii="方正仿宋_GBK" w:hAnsi="方正仿宋_GBK" w:eastAsia="方正仿宋_GBK" w:cs="宋体"/>
          <w:sz w:val="24"/>
        </w:rPr>
        <w:t>（资料来源：查询人）</w:t>
      </w:r>
    </w:p>
    <w:p>
      <w:pPr>
        <w:spacing w:line="360" w:lineRule="auto"/>
        <w:ind w:firstLine="480"/>
        <w:rPr>
          <w:rFonts w:ascii="方正仿宋_GBK" w:hAnsi="方正仿宋_GBK" w:eastAsia="方正仿宋_GBK" w:cs="黑体"/>
          <w:b/>
          <w:bCs/>
          <w:sz w:val="24"/>
          <w:szCs w:val="24"/>
        </w:rPr>
      </w:pPr>
      <w:r>
        <w:rPr>
          <w:rFonts w:hint="eastAsia" w:ascii="方正仿宋_GBK" w:hAnsi="方正仿宋_GBK" w:eastAsia="方正仿宋_GBK" w:cs="黑体"/>
          <w:b/>
          <w:bCs/>
          <w:sz w:val="24"/>
          <w:szCs w:val="24"/>
        </w:rPr>
        <w:t>26.2  办理路径</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微软雅黑"/>
          <w:b/>
          <w:bCs/>
          <w:sz w:val="24"/>
        </w:rPr>
        <w:t>窗口办：</w:t>
      </w:r>
      <w:r>
        <w:rPr>
          <w:rFonts w:ascii="方正仿宋_GBK" w:hAnsi="方正仿宋_GBK" w:eastAsia="方正仿宋_GBK" w:cs="宋体"/>
          <w:sz w:val="24"/>
        </w:rPr>
        <w:t>人民法院、人民检察院和公安机关依法查询纳税人涉税保密信息的，应有两名以上工作人员向被查询纳税人所在地的县税务</w:t>
      </w:r>
      <w:r>
        <w:rPr>
          <w:rFonts w:hint="eastAsia" w:ascii="方正仿宋_GBK" w:hAnsi="方正仿宋_GBK" w:eastAsia="方正仿宋_GBK" w:cs="宋体"/>
          <w:sz w:val="24"/>
        </w:rPr>
        <w:t>局</w:t>
      </w:r>
      <w:r>
        <w:rPr>
          <w:rFonts w:ascii="方正仿宋_GBK" w:hAnsi="方正仿宋_GBK" w:eastAsia="方正仿宋_GBK" w:cs="宋体"/>
          <w:sz w:val="24"/>
        </w:rPr>
        <w:t>提出查询申请</w:t>
      </w:r>
      <w:r>
        <w:rPr>
          <w:rFonts w:hint="eastAsia" w:ascii="方正仿宋_GBK" w:hAnsi="方正仿宋_GBK" w:eastAsia="方正仿宋_GBK" w:cs="宋体"/>
          <w:sz w:val="24"/>
        </w:rPr>
        <w:t>；</w:t>
      </w:r>
      <w:r>
        <w:rPr>
          <w:rFonts w:ascii="方正仿宋_GBK" w:hAnsi="方正仿宋_GBK" w:eastAsia="方正仿宋_GBK" w:cs="宋体"/>
          <w:sz w:val="24"/>
        </w:rPr>
        <w:t>抵押权人、质权人申请查询纳税人欠税有关情况，可以通过</w:t>
      </w:r>
      <w:r>
        <w:rPr>
          <w:rFonts w:hint="eastAsia" w:ascii="方正仿宋_GBK" w:hAnsi="方正仿宋_GBK" w:eastAsia="方正仿宋_GBK" w:cs="宋体"/>
          <w:sz w:val="24"/>
        </w:rPr>
        <w:t>各分局（所）</w:t>
      </w:r>
      <w:r>
        <w:rPr>
          <w:rFonts w:ascii="方正仿宋_GBK" w:hAnsi="方正仿宋_GBK" w:eastAsia="方正仿宋_GBK" w:cs="宋体"/>
          <w:sz w:val="24"/>
        </w:rPr>
        <w:t>办税服务厅提出书面申请</w:t>
      </w:r>
      <w:r>
        <w:rPr>
          <w:rFonts w:hint="eastAsia" w:ascii="方正仿宋_GBK" w:hAnsi="方正仿宋_GBK" w:eastAsia="方正仿宋_GBK" w:cs="宋体"/>
          <w:sz w:val="24"/>
        </w:rPr>
        <w:t>。</w:t>
      </w:r>
    </w:p>
    <w:p>
      <w:pPr>
        <w:spacing w:line="360" w:lineRule="auto"/>
        <w:ind w:firstLine="480"/>
        <w:jc w:val="center"/>
        <w:rPr>
          <w:rFonts w:ascii="方正仿宋_GBK" w:hAnsi="方正仿宋_GBK" w:eastAsia="方正仿宋_GBK" w:cs="宋体"/>
          <w:sz w:val="24"/>
        </w:rPr>
      </w:pP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szCs w:val="24"/>
        </w:rPr>
        <w:t>26.3  办理时限：</w:t>
      </w:r>
      <w:r>
        <w:rPr>
          <w:rFonts w:hint="eastAsia" w:ascii="方正仿宋_GBK" w:hAnsi="方正仿宋_GBK" w:eastAsia="方正仿宋_GBK" w:cs="宋体"/>
          <w:sz w:val="24"/>
        </w:rPr>
        <w:t>17个工作日</w:t>
      </w:r>
    </w:p>
    <w:p>
      <w:pPr>
        <w:spacing w:line="360" w:lineRule="auto"/>
        <w:ind w:firstLine="480"/>
        <w:rPr>
          <w:rFonts w:ascii="方正仿宋_GBK" w:hAnsi="方正仿宋_GBK" w:eastAsia="方正仿宋_GBK"/>
        </w:rPr>
      </w:pPr>
      <w:r>
        <w:rPr>
          <w:rFonts w:hint="eastAsia" w:ascii="方正仿宋_GBK" w:hAnsi="方正仿宋_GBK" w:eastAsia="方正仿宋_GBK" w:cs="黑体"/>
          <w:b/>
          <w:bCs/>
          <w:sz w:val="24"/>
          <w:szCs w:val="24"/>
        </w:rPr>
        <w:t>26.4  温馨提示：</w:t>
      </w:r>
      <w:r>
        <w:rPr>
          <w:rFonts w:hint="eastAsia" w:ascii="方正仿宋_GBK" w:hAnsi="方正仿宋_GBK" w:eastAsia="方正仿宋_GBK" w:cs="宋体"/>
          <w:sz w:val="24"/>
        </w:rPr>
        <w:t>为保障您便捷快速办税缴费，您可先拨打办税服务厅咨询电话，避免业务高峰期等候，我们为您提供预约服务和延时服务，如有问题可拨打12256咨询投诉。</w:t>
      </w:r>
    </w:p>
    <w:p>
      <w:pPr>
        <w:rPr>
          <w:rFonts w:ascii="方正仿宋_GBK" w:hAnsi="方正仿宋_GBK" w:eastAsia="方正仿宋_GBK"/>
          <w:b/>
          <w:bCs/>
          <w:sz w:val="32"/>
          <w:szCs w:val="32"/>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277" w:name="_Toc128733566"/>
      <w:bookmarkStart w:id="278" w:name="_Hlk128903034"/>
      <w:bookmarkStart w:id="279" w:name="_Hlk128945976"/>
      <w:r>
        <w:rPr>
          <w:rFonts w:ascii="方正仿宋_GBK" w:hAnsi="方正仿宋_GBK" w:eastAsia="方正仿宋_GBK"/>
        </w:rPr>
        <w:drawing>
          <wp:anchor distT="0" distB="0" distL="114300" distR="114300" simplePos="0" relativeHeight="251660288" behindDoc="0" locked="0" layoutInCell="1" allowOverlap="1">
            <wp:simplePos x="0" y="0"/>
            <wp:positionH relativeFrom="column">
              <wp:posOffset>3936365</wp:posOffset>
            </wp:positionH>
            <wp:positionV relativeFrom="paragraph">
              <wp:posOffset>-451485</wp:posOffset>
            </wp:positionV>
            <wp:extent cx="1439545" cy="1439545"/>
            <wp:effectExtent l="0" t="0" r="8255" b="825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439545" cy="1439545"/>
                    </a:xfrm>
                    <a:prstGeom prst="rect">
                      <a:avLst/>
                    </a:prstGeom>
                    <a:noFill/>
                    <a:ln>
                      <a:noFill/>
                    </a:ln>
                  </pic:spPr>
                </pic:pic>
              </a:graphicData>
            </a:graphic>
          </wp:anchor>
        </w:drawing>
      </w:r>
      <w:r>
        <w:rPr>
          <w:rFonts w:hint="eastAsia" w:ascii="方正仿宋_GBK" w:hAnsi="方正仿宋_GBK" w:eastAsia="方正仿宋_GBK"/>
        </w:rPr>
        <w:t>违规禁办事项清单</w:t>
      </w:r>
      <w:bookmarkEnd w:id="277"/>
    </w:p>
    <w:bookmarkEnd w:id="278"/>
    <w:tbl>
      <w:tblPr>
        <w:tblStyle w:val="13"/>
        <w:tblW w:w="5000" w:type="pct"/>
        <w:tblInd w:w="0" w:type="dxa"/>
        <w:tblLayout w:type="autofit"/>
        <w:tblCellMar>
          <w:top w:w="0" w:type="dxa"/>
          <w:left w:w="108" w:type="dxa"/>
          <w:bottom w:w="0" w:type="dxa"/>
          <w:right w:w="108" w:type="dxa"/>
        </w:tblCellMar>
      </w:tblPr>
      <w:tblGrid>
        <w:gridCol w:w="1878"/>
        <w:gridCol w:w="6644"/>
      </w:tblGrid>
      <w:tr>
        <w:tblPrEx>
          <w:tblCellMar>
            <w:top w:w="0" w:type="dxa"/>
            <w:left w:w="108" w:type="dxa"/>
            <w:bottom w:w="0" w:type="dxa"/>
            <w:right w:w="108" w:type="dxa"/>
          </w:tblCellMar>
        </w:tblPrEx>
        <w:trPr>
          <w:trHeight w:val="375" w:hRule="atLeast"/>
          <w:tblHeader/>
        </w:trPr>
        <w:tc>
          <w:tcPr>
            <w:tcW w:w="110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46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一、违规登记为小规模纳税人</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1.从事成品油销售的加油站</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2.航空运输企业</w:t>
            </w:r>
          </w:p>
        </w:tc>
      </w:tr>
      <w:tr>
        <w:tblPrEx>
          <w:tblCellMar>
            <w:top w:w="0" w:type="dxa"/>
            <w:left w:w="108" w:type="dxa"/>
            <w:bottom w:w="0" w:type="dxa"/>
            <w:right w:w="108" w:type="dxa"/>
          </w:tblCellMar>
        </w:tblPrEx>
        <w:trPr>
          <w:trHeight w:val="46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3.电信企业总机构及其分支机构</w:t>
            </w:r>
          </w:p>
        </w:tc>
      </w:tr>
      <w:tr>
        <w:tblPrEx>
          <w:tblCellMar>
            <w:top w:w="0" w:type="dxa"/>
            <w:left w:w="108" w:type="dxa"/>
            <w:bottom w:w="0" w:type="dxa"/>
            <w:right w:w="108" w:type="dxa"/>
          </w:tblCellMar>
        </w:tblPrEx>
        <w:trPr>
          <w:trHeight w:val="720"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二、违规代开发票</w:t>
            </w:r>
          </w:p>
        </w:tc>
        <w:tc>
          <w:tcPr>
            <w:tcW w:w="3898" w:type="pct"/>
            <w:tcBorders>
              <w:top w:val="nil"/>
              <w:left w:val="nil"/>
              <w:bottom w:val="single" w:color="auto" w:sz="4" w:space="0"/>
              <w:right w:val="single" w:color="auto" w:sz="4" w:space="0"/>
            </w:tcBorders>
            <w:shd w:val="clear" w:color="auto" w:fill="auto"/>
            <w:vAlign w:val="center"/>
          </w:tcPr>
          <w:p>
            <w:pPr>
              <w:widowControl/>
              <w:spacing w:after="240"/>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1.登记户及自然人到主管税务机关申请办理代开成品油发票。</w:t>
            </w:r>
          </w:p>
        </w:tc>
      </w:tr>
      <w:tr>
        <w:tblPrEx>
          <w:tblCellMar>
            <w:top w:w="0" w:type="dxa"/>
            <w:left w:w="108" w:type="dxa"/>
            <w:bottom w:w="0" w:type="dxa"/>
            <w:right w:w="108" w:type="dxa"/>
          </w:tblCellMar>
        </w:tblPrEx>
        <w:trPr>
          <w:trHeight w:val="75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2.增值税小规模纳税人（其他个人除外）已自愿选择自行开具增值税专用发票的，向税务机关申请代开增值税专用发票。</w:t>
            </w:r>
          </w:p>
        </w:tc>
      </w:tr>
      <w:tr>
        <w:tblPrEx>
          <w:tblCellMar>
            <w:top w:w="0" w:type="dxa"/>
            <w:left w:w="108" w:type="dxa"/>
            <w:bottom w:w="0" w:type="dxa"/>
            <w:right w:w="108" w:type="dxa"/>
          </w:tblCellMar>
        </w:tblPrEx>
        <w:trPr>
          <w:trHeight w:val="8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三、违规超额超量核定票种</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1.纳税人首次领购发票核定增值税专用发票最高开票限额超过10万元，每月最高领用数量超过24份</w:t>
            </w:r>
          </w:p>
        </w:tc>
      </w:tr>
      <w:tr>
        <w:tblPrEx>
          <w:tblCellMar>
            <w:top w:w="0" w:type="dxa"/>
            <w:left w:w="108" w:type="dxa"/>
            <w:bottom w:w="0" w:type="dxa"/>
            <w:right w:w="108" w:type="dxa"/>
          </w:tblCellMar>
        </w:tblPrEx>
        <w:trPr>
          <w:trHeight w:val="8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2.纳税人首次领购发票核定增值税普通发票最高开票限额超过10万元，每月最高领用数量超过50份。</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四、违规办理非正常户解除</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1.未就其逾期未申报行为接受处罚、缴纳罚款</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2.未补办纳税申报</w:t>
            </w:r>
          </w:p>
        </w:tc>
      </w:tr>
      <w:tr>
        <w:tblPrEx>
          <w:tblCellMar>
            <w:top w:w="0" w:type="dxa"/>
            <w:left w:w="108" w:type="dxa"/>
            <w:bottom w:w="0" w:type="dxa"/>
            <w:right w:w="108" w:type="dxa"/>
          </w:tblCellMar>
        </w:tblPrEx>
        <w:trPr>
          <w:trHeight w:val="522"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五、违规办理税务登记注销</w:t>
            </w: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1.纳税人存在未申报信息</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2.纳税人存在未缴销发票</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3.纳税人存在未结报的税收票证</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4.土地增值税纳税人未完成土地增值税清算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5.企业所得税纳税人未完成企业所得税清算</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6.欠缴税款、罚款、滞纳金</w:t>
            </w:r>
          </w:p>
        </w:tc>
      </w:tr>
      <w:tr>
        <w:tblPrEx>
          <w:tblCellMar>
            <w:top w:w="0" w:type="dxa"/>
            <w:left w:w="108" w:type="dxa"/>
            <w:bottom w:w="0" w:type="dxa"/>
            <w:right w:w="108" w:type="dxa"/>
          </w:tblCellMar>
        </w:tblPrEx>
        <w:trPr>
          <w:trHeight w:val="522"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7.纳税人存在稽查在查案件</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六、违反账簿凭证管理规定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1.不按照规定设置、保管账簿或者保管记账凭证和有关资料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2.不按照规定将财务、会计制度或者财务、会计处理办法和会计核算软件报送税务机关备查</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3.不按照规定安装、使用税控装置，或者损毁或者擅自改动税控装置</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4.扣缴义务人不按照规定设置、保管代扣代缴、代收代缴税款账簿或者保管代扣代缴、代收代缴税款记账凭证及有关资料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七、违反纳税申报规定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2.扣缴义务人不按照规定的期限向税务机关报送代扣代缴、代收代缴税款报告表和有关资料</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八、违反税款征收规定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2.以假报出口或者其他欺骗手段骗取国家出口退税款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3.扣缴义务人应扣未扣、应收而不收税款</w:t>
            </w:r>
          </w:p>
        </w:tc>
      </w:tr>
      <w:tr>
        <w:tblPrEx>
          <w:tblCellMar>
            <w:top w:w="0" w:type="dxa"/>
            <w:left w:w="108" w:type="dxa"/>
            <w:bottom w:w="0" w:type="dxa"/>
            <w:right w:w="108" w:type="dxa"/>
          </w:tblCellMar>
        </w:tblPrEx>
        <w:trPr>
          <w:trHeight w:val="480"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4.为纳税人、扣缴义务人非法提供银行账户、发票、证明或者其他方便，导致未缴、少缴税款或者骗取国家出口退税款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5.纳税人拒绝代扣、代收税款，拒不缴纳税款、滞纳金</w:t>
            </w:r>
          </w:p>
        </w:tc>
      </w:tr>
      <w:tr>
        <w:tblPrEx>
          <w:tblCellMar>
            <w:top w:w="0" w:type="dxa"/>
            <w:left w:w="108" w:type="dxa"/>
            <w:bottom w:w="0" w:type="dxa"/>
            <w:right w:w="108" w:type="dxa"/>
          </w:tblCellMar>
        </w:tblPrEx>
        <w:trPr>
          <w:trHeight w:val="375" w:hRule="atLeast"/>
        </w:trPr>
        <w:tc>
          <w:tcPr>
            <w:tcW w:w="1102"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九、违反纳税担保规定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1.纳税人、纳税担保人采取欺骗、隐瞒等手段提供担保</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2.非法为纳税人、纳税担保人实施虚假纳税担保提供方便</w:t>
            </w:r>
          </w:p>
        </w:tc>
      </w:tr>
      <w:tr>
        <w:tblPrEx>
          <w:tblCellMar>
            <w:top w:w="0" w:type="dxa"/>
            <w:left w:w="108" w:type="dxa"/>
            <w:bottom w:w="0" w:type="dxa"/>
            <w:right w:w="108" w:type="dxa"/>
          </w:tblCellMar>
        </w:tblPrEx>
        <w:trPr>
          <w:trHeight w:val="375" w:hRule="atLeast"/>
        </w:trPr>
        <w:tc>
          <w:tcPr>
            <w:tcW w:w="1102"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kern w:val="0"/>
                <w:sz w:val="24"/>
                <w:szCs w:val="24"/>
              </w:rPr>
            </w:pPr>
            <w:r>
              <w:rPr>
                <w:rFonts w:hint="eastAsia" w:ascii="方正仿宋_GBK" w:hAnsi="方正仿宋_GBK" w:eastAsia="方正仿宋_GBK" w:cs="宋体"/>
                <w:kern w:val="0"/>
                <w:sz w:val="24"/>
                <w:szCs w:val="24"/>
              </w:rPr>
              <w:t>3.纳税人采取欺骗、隐瞒等手段提供担保，造成应缴税款损失</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279"/>
    </w:tbl>
    <w:p>
      <w:pPr>
        <w:widowControl/>
        <w:jc w:val="left"/>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pStyle w:val="2"/>
        <w:rPr>
          <w:rFonts w:ascii="方正仿宋_GBK" w:hAnsi="方正仿宋_GBK" w:eastAsia="方正仿宋_GBK"/>
        </w:rPr>
      </w:pPr>
      <w:bookmarkStart w:id="280" w:name="_Toc128733568"/>
      <w:r>
        <w:rPr>
          <w:rFonts w:ascii="方正仿宋_GBK" w:hAnsi="方正仿宋_GBK" w:eastAsia="方正仿宋_GBK"/>
        </w:rPr>
        <w:drawing>
          <wp:anchor distT="0" distB="0" distL="114300" distR="114300" simplePos="0" relativeHeight="251661312" behindDoc="0" locked="0" layoutInCell="1" allowOverlap="1">
            <wp:simplePos x="0" y="0"/>
            <wp:positionH relativeFrom="page">
              <wp:posOffset>4695825</wp:posOffset>
            </wp:positionH>
            <wp:positionV relativeFrom="paragraph">
              <wp:posOffset>-666115</wp:posOffset>
            </wp:positionV>
            <wp:extent cx="1619885" cy="1619885"/>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容缺办理事项清单</w:t>
      </w:r>
      <w:bookmarkEnd w:id="280"/>
    </w:p>
    <w:tbl>
      <w:tblPr>
        <w:tblStyle w:val="13"/>
        <w:tblW w:w="8296" w:type="dxa"/>
        <w:tblInd w:w="0" w:type="dxa"/>
        <w:tblLayout w:type="fixed"/>
        <w:tblCellMar>
          <w:top w:w="0" w:type="dxa"/>
          <w:left w:w="108" w:type="dxa"/>
          <w:bottom w:w="0" w:type="dxa"/>
          <w:right w:w="108" w:type="dxa"/>
        </w:tblCellMar>
      </w:tblPr>
      <w:tblGrid>
        <w:gridCol w:w="2063"/>
        <w:gridCol w:w="2063"/>
        <w:gridCol w:w="2064"/>
        <w:gridCol w:w="2106"/>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序号</w:t>
            </w:r>
          </w:p>
        </w:tc>
        <w:tc>
          <w:tcPr>
            <w:tcW w:w="20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206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1</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存款账户账号报告</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账户、账号开立证明复印件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纳税人开户银行提供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2</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非居民企业企业所得税预缴申报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工程作业（劳务）决算（结算）报告或其他说明材料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15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参与工程作业或劳务项目外籍人员姓名、国籍、出入境时间、在华工作时间、地点、内容、报酬标准、支付方式、相关费用等情况的书面报告</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财务会计报告或财务情况说明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3</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居民个人取得综合所得个人所得税预扣预缴申报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公司股权激励人员名单</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4</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5</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矿区使用费申报</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油（气）田的产量资料</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油（气）田的产量、分配量、销售量资料</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6</w:t>
            </w:r>
          </w:p>
        </w:tc>
        <w:tc>
          <w:tcPr>
            <w:tcW w:w="20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境内机构和个人发包工程作业或劳务项目备案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合同中文译本</w:t>
            </w:r>
          </w:p>
        </w:tc>
        <w:tc>
          <w:tcPr>
            <w:tcW w:w="2106"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3"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非居民对有关事项的书面说明</w:t>
            </w:r>
          </w:p>
        </w:tc>
        <w:tc>
          <w:tcPr>
            <w:tcW w:w="2106" w:type="dxa"/>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7</w:t>
            </w:r>
          </w:p>
        </w:tc>
        <w:tc>
          <w:tcPr>
            <w:tcW w:w="2063"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服务贸易等项目对外支付税务备案</w:t>
            </w:r>
          </w:p>
        </w:tc>
        <w:tc>
          <w:tcPr>
            <w:tcW w:w="2064"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合同（协议）或相关交易凭证复印件</w:t>
            </w:r>
          </w:p>
        </w:tc>
        <w:tc>
          <w:tcPr>
            <w:tcW w:w="2106"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补正期限：17个工作日</w:t>
            </w:r>
          </w:p>
        </w:tc>
      </w:tr>
    </w:tbl>
    <w:p>
      <w:pPr>
        <w:rPr>
          <w:rFonts w:ascii="方正仿宋_GBK" w:hAnsi="方正仿宋_GBK" w:eastAsia="方正仿宋_GBK" w:cs="宋体"/>
          <w:color w:val="000000"/>
          <w:kern w:val="0"/>
          <w:szCs w:val="21"/>
        </w:rPr>
      </w:pPr>
    </w:p>
    <w:p>
      <w:pPr>
        <w:rPr>
          <w:rFonts w:ascii="方正仿宋_GBK" w:hAnsi="方正仿宋_GBK" w:eastAsia="方正仿宋_GBK" w:cs="宋体"/>
          <w:bCs/>
          <w:color w:val="000000"/>
          <w:kern w:val="0"/>
          <w:szCs w:val="21"/>
        </w:rPr>
        <w:sectPr>
          <w:pgSz w:w="11906" w:h="16838"/>
          <w:pgMar w:top="1440" w:right="1800" w:bottom="1440" w:left="1800" w:header="851" w:footer="992" w:gutter="0"/>
          <w:cols w:space="425" w:num="1"/>
          <w:docGrid w:type="lines" w:linePitch="312" w:charSpace="0"/>
        </w:sectPr>
      </w:pPr>
      <w:r>
        <w:rPr>
          <w:rFonts w:hint="eastAsia" w:ascii="方正仿宋_GBK" w:hAnsi="方正仿宋_GBK" w:eastAsia="方正仿宋_GBK" w:cs="宋体"/>
          <w:bCs/>
          <w:color w:val="000000"/>
          <w:kern w:val="0"/>
          <w:szCs w:val="21"/>
        </w:rPr>
        <w:t>注：一个业务事项涉及多种可容缺资料的，可同时容缺</w:t>
      </w:r>
    </w:p>
    <w:p>
      <w:pPr>
        <w:pStyle w:val="3"/>
        <w:rPr>
          <w:rFonts w:ascii="方正仿宋_GBK" w:hAnsi="方正仿宋_GBK" w:eastAsia="方正仿宋_GBK"/>
        </w:rPr>
      </w:pPr>
      <w:bookmarkStart w:id="281" w:name="_Toc128733567"/>
      <w:r>
        <w:drawing>
          <wp:anchor distT="0" distB="0" distL="114300" distR="114300" simplePos="0" relativeHeight="251663360"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仿宋_GBK" w:hAnsi="方正仿宋_GBK" w:eastAsia="方正仿宋_GBK"/>
        </w:rPr>
        <w:t>“首违不罚”事项清单</w:t>
      </w:r>
      <w:bookmarkEnd w:id="281"/>
    </w:p>
    <w:p>
      <w:pPr>
        <w:pStyle w:val="12"/>
        <w:widowControl/>
        <w:ind w:firstLine="560" w:firstLineChars="200"/>
        <w:rPr>
          <w:rFonts w:hint="default" w:ascii="方正仿宋_GBK" w:hAnsi="方正仿宋_GBK" w:eastAsia="方正仿宋_GBK"/>
          <w:snapToGrid w:val="0"/>
          <w:sz w:val="28"/>
          <w:szCs w:val="28"/>
        </w:rPr>
      </w:pPr>
    </w:p>
    <w:p>
      <w:pPr>
        <w:widowControl/>
        <w:shd w:val="clear" w:color="auto" w:fill="FFFFFF"/>
        <w:spacing w:after="150" w:line="450" w:lineRule="atLeast"/>
        <w:ind w:firstLine="420"/>
        <w:jc w:val="left"/>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Style w:val="13"/>
        <w:tblW w:w="8570" w:type="dxa"/>
        <w:jc w:val="center"/>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纳税人未按照税收征收管理法及实施细则等有关规定将其全部银行账号向税务机关报送</w:t>
            </w:r>
          </w:p>
        </w:tc>
      </w:tr>
      <w:tr>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纳税人未按照税收征收管理法及实施细则等有关规定设置、保管账簿或者保管记账凭证和有关资料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r>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纳税人使用税控装置开具发票，未按照税收征收管理法及实施细则、发票管理办法等有关规定的期限向主管税务机关报送开具发票的数据且没有违法所得</w:t>
            </w:r>
          </w:p>
        </w:tc>
      </w:tr>
      <w:tr>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纳税人未按照税收征收管理法及实施细则、发票管理办法等有关规定取得发票，以其他凭证代替发票使用且没有违法所得</w:t>
            </w:r>
          </w:p>
        </w:tc>
      </w:tr>
      <w:tr>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纳税人未按照税收征收管理法及实施细则、发票管理办法等有关规定缴销发票且没有违法所得</w:t>
            </w:r>
          </w:p>
        </w:tc>
      </w:tr>
      <w:tr>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扣缴义务人未按照税收征收管理法及实施细则等有关规定设置、保管代扣代缴、代收代缴税款账簿或者保管代扣代缴、代收代缴税款记账凭证及有关资料</w:t>
            </w:r>
          </w:p>
        </w:tc>
      </w:tr>
      <w:tr>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扣缴义务人未按照税收征收管理法及实施细则等有关规定的期限报送代扣代缴、代收代缴税款有关资料</w:t>
            </w:r>
          </w:p>
        </w:tc>
      </w:tr>
      <w:tr>
        <w:tblPrEx>
          <w:tblCellMar>
            <w:top w:w="0" w:type="dxa"/>
            <w:left w:w="108" w:type="dxa"/>
            <w:bottom w:w="0" w:type="dxa"/>
            <w:right w:w="108" w:type="dxa"/>
          </w:tblCellMar>
        </w:tblPrEx>
        <w:trPr>
          <w:trHeight w:val="8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lef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扣缴义务人未按照《税收票证管理办法》的规定开具税收票证</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境内机构或个人向非居民发包工程作业或劳务项目，未按照《非居民承包工程作业和提供劳务税收管理暂行办法》的规定向主管税务机关报告有关事项</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纳税人未按照税收征收管理法及实施细则、税务登记管理办法等有关规定办理税务登记证件验证或者换证手续</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纳税人未按照税收征收管理法及实施细则、发票管理办法等有关规定加盖发票专用章且没有违法所得</w:t>
            </w:r>
          </w:p>
        </w:tc>
      </w:tr>
      <w:tr>
        <w:tblPrEx>
          <w:tblCellMar>
            <w:top w:w="0" w:type="dxa"/>
            <w:left w:w="108" w:type="dxa"/>
            <w:bottom w:w="0" w:type="dxa"/>
            <w:right w:w="108" w:type="dxa"/>
          </w:tblCellMar>
        </w:tblPrEx>
        <w:trPr>
          <w:trHeight w:val="1192"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纳税人未按照税收征收管理法及实施细则等有关规定将财务、会计制度或者财务、会计处理办法和会计核算软件报送税务机关备查</w:t>
            </w:r>
          </w:p>
        </w:tc>
      </w:tr>
    </w:tbl>
    <w:p>
      <w:pPr>
        <w:rPr>
          <w:rFonts w:ascii="方正仿宋_GBK" w:hAnsi="方正仿宋_GBK" w:eastAsia="方正仿宋_GBK" w:cs="Times New Roman"/>
        </w:rPr>
      </w:pPr>
    </w:p>
    <w:p>
      <w:pPr>
        <w:rPr>
          <w:rFonts w:ascii="方正仿宋_GBK" w:hAnsi="方正仿宋_GBK" w:eastAsia="方正仿宋_GBK"/>
        </w:rPr>
      </w:pPr>
    </w:p>
    <w:p>
      <w:pPr>
        <w:rPr>
          <w:rFonts w:ascii="方正仿宋_GBK" w:hAnsi="方正仿宋_GBK" w:eastAsia="方正仿宋_GBK" w:cs="宋体"/>
          <w:bCs/>
          <w:color w:val="000000"/>
          <w:kern w:val="0"/>
          <w:szCs w:val="21"/>
        </w:rPr>
      </w:pPr>
      <w:r>
        <w:rPr>
          <w:rFonts w:ascii="方正仿宋_GBK" w:hAnsi="方正仿宋_GBK" w:eastAsia="方正仿宋_GBK"/>
        </w:rPr>
        <w:tab/>
      </w:r>
    </w:p>
    <w:p>
      <w:pPr>
        <w:rPr>
          <w:rFonts w:ascii="方正仿宋_GBK" w:hAnsi="方正仿宋_GBK" w:eastAsia="方正仿宋_GBK"/>
        </w:rPr>
      </w:pPr>
    </w:p>
    <w:p>
      <w:pPr>
        <w:rPr>
          <w:rFonts w:ascii="方正仿宋_GBK" w:hAnsi="方正仿宋_GBK" w:eastAsia="方正仿宋_GBK"/>
        </w:rPr>
      </w:pPr>
    </w:p>
    <w:p>
      <w:pPr>
        <w:rPr>
          <w:rFonts w:ascii="方正仿宋_GBK" w:hAnsi="方正仿宋_GBK" w:eastAsia="方正仿宋_GBK"/>
        </w:rPr>
        <w:sectPr>
          <w:pgSz w:w="11906" w:h="16838"/>
          <w:pgMar w:top="1440" w:right="1800" w:bottom="1440" w:left="1800" w:header="851" w:footer="992" w:gutter="0"/>
          <w:cols w:space="425" w:num="1"/>
          <w:docGrid w:type="lines" w:linePitch="312" w:charSpace="0"/>
        </w:sectPr>
      </w:pPr>
    </w:p>
    <w:p>
      <w:pPr>
        <w:rPr>
          <w:rFonts w:ascii="方正仿宋_GBK" w:hAnsi="方正仿宋_GBK" w:eastAsia="方正仿宋_GBK"/>
        </w:rPr>
        <w:sectPr>
          <w:footerReference r:id="rId4" w:type="default"/>
          <w:pgSz w:w="11906" w:h="16838"/>
          <w:pgMar w:top="1440" w:right="1800" w:bottom="1440" w:left="1800" w:header="851" w:footer="992" w:gutter="0"/>
          <w:cols w:space="425" w:num="1"/>
          <w:docGrid w:type="lines" w:linePitch="312" w:charSpace="0"/>
        </w:sectPr>
      </w:pPr>
    </w:p>
    <w:p>
      <w:pPr>
        <w:jc w:val="center"/>
        <w:rPr>
          <w:rFonts w:ascii="方正仿宋_GBK" w:hAnsi="方正仿宋_GBK" w:eastAsia="方正仿宋_GBK"/>
        </w:rPr>
      </w:pPr>
      <w:r>
        <w:drawing>
          <wp:inline distT="0" distB="0" distL="0" distR="0">
            <wp:extent cx="7560310" cy="1068705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7560310" cy="10687050"/>
                    </a:xfrm>
                    <a:prstGeom prst="rect">
                      <a:avLst/>
                    </a:prstGeom>
                    <a:noFill/>
                    <a:ln>
                      <a:noFill/>
                    </a:ln>
                  </pic:spPr>
                </pic:pic>
              </a:graphicData>
            </a:graphic>
          </wp:inline>
        </w:drawing>
      </w: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791823"/>
    </w:sdtPr>
    <w:sdtContent>
      <w:p>
        <w:pPr>
          <w:pStyle w:val="8"/>
          <w:jc w:val="center"/>
        </w:pPr>
        <w:r>
          <w:fldChar w:fldCharType="begin"/>
        </w:r>
        <w:r>
          <w:instrText xml:space="preserve">PAGE   \* MERGEFORMAT</w:instrText>
        </w:r>
        <w:r>
          <w:fldChar w:fldCharType="separate"/>
        </w:r>
        <w:r>
          <w:rPr>
            <w:lang w:val="zh-CN"/>
          </w:rPr>
          <w:t>10</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1MzA4Zjc4ZjczOTU1NmZiOGQwODQ5YWYwMGI0YjUifQ=="/>
    <w:docVar w:name="KSO_WPS_MARK_KEY" w:val="6f1d2437-d7f7-499f-bd0b-689915a195f6"/>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66B32"/>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37B"/>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47FED"/>
    <w:rsid w:val="00D550A1"/>
    <w:rsid w:val="00D565D9"/>
    <w:rsid w:val="00D603EF"/>
    <w:rsid w:val="00D708F3"/>
    <w:rsid w:val="00D86801"/>
    <w:rsid w:val="00DA2A99"/>
    <w:rsid w:val="00DB7EF8"/>
    <w:rsid w:val="00DD3422"/>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D2E"/>
    <w:rsid w:val="00FD4EC9"/>
    <w:rsid w:val="00FD79C1"/>
    <w:rsid w:val="00FE0A61"/>
    <w:rsid w:val="00FF25AD"/>
    <w:rsid w:val="024A7C0C"/>
    <w:rsid w:val="040221B4"/>
    <w:rsid w:val="08CE7F20"/>
    <w:rsid w:val="10C0073C"/>
    <w:rsid w:val="13A45907"/>
    <w:rsid w:val="1B444838"/>
    <w:rsid w:val="1F76647F"/>
    <w:rsid w:val="201A0B26"/>
    <w:rsid w:val="232E73FB"/>
    <w:rsid w:val="277C022D"/>
    <w:rsid w:val="2CDC7955"/>
    <w:rsid w:val="31B74A51"/>
    <w:rsid w:val="363A6F58"/>
    <w:rsid w:val="39FC1D6A"/>
    <w:rsid w:val="41934474"/>
    <w:rsid w:val="42F14D08"/>
    <w:rsid w:val="43100C23"/>
    <w:rsid w:val="449C3228"/>
    <w:rsid w:val="4A7748D1"/>
    <w:rsid w:val="4E0B62AA"/>
    <w:rsid w:val="536D4F1D"/>
    <w:rsid w:val="53910704"/>
    <w:rsid w:val="54B70A92"/>
    <w:rsid w:val="62C33EA5"/>
    <w:rsid w:val="633F78C0"/>
    <w:rsid w:val="655D307F"/>
    <w:rsid w:val="690925AF"/>
    <w:rsid w:val="6F437AE5"/>
    <w:rsid w:val="745F49AD"/>
    <w:rsid w:val="775E71FE"/>
    <w:rsid w:val="7A6972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uiPriority w:val="0"/>
    <w:rPr>
      <w:rFonts w:ascii="宋体" w:hAnsi="宋体" w:eastAsia="宋体" w:cs="Times New Roman"/>
      <w:kern w:val="0"/>
      <w:sz w:val="24"/>
      <w:szCs w:val="24"/>
    </w:rPr>
  </w:style>
  <w:style w:type="character" w:customStyle="1" w:styleId="43">
    <w:name w:val="批注框文本 Char"/>
    <w:basedOn w:val="15"/>
    <w:link w:val="7"/>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59.jpe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jpe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9AC87-3115-4D8E-ADE1-D3286D4F0CE0}">
  <ds:schemaRefs/>
</ds:datastoreItem>
</file>

<file path=docProps/app.xml><?xml version="1.0" encoding="utf-8"?>
<Properties xmlns="http://schemas.openxmlformats.org/officeDocument/2006/extended-properties" xmlns:vt="http://schemas.openxmlformats.org/officeDocument/2006/docPropsVTypes">
  <Template>Normal</Template>
  <Pages>51</Pages>
  <Words>2929</Words>
  <Characters>16696</Characters>
  <Lines>139</Lines>
  <Paragraphs>39</Paragraphs>
  <TotalTime>56</TotalTime>
  <ScaleCrop>false</ScaleCrop>
  <LinksUpToDate>false</LinksUpToDate>
  <CharactersWithSpaces>19586</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公子</cp:lastModifiedBy>
  <cp:lastPrinted>2023-03-07T10:51:00Z</cp:lastPrinted>
  <dcterms:modified xsi:type="dcterms:W3CDTF">2023-03-22T14:38:57Z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49F832F9CACC460FAA7A35679E8FAD6D_13</vt:lpwstr>
  </property>
</Properties>
</file>