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ascii="华文中宋" w:hAnsi="华文中宋" w:eastAsia="华文中宋" w:cs="宋体"/>
          <w:b/>
          <w:color w:val="auto"/>
          <w:kern w:val="0"/>
          <w:sz w:val="48"/>
          <w:szCs w:val="48"/>
          <w:highlight w:val="none"/>
          <w:u w:val="none"/>
          <w:lang w:val="en-US" w:eastAsia="zh-CN" w:bidi="ar-SA"/>
        </w:rPr>
      </w:pPr>
      <w:r>
        <w:rPr>
          <w:rFonts w:hint="eastAsia" w:ascii="华文中宋" w:hAnsi="华文中宋" w:eastAsia="华文中宋" w:cs="宋体"/>
          <w:b/>
          <w:color w:val="auto"/>
          <w:kern w:val="0"/>
          <w:sz w:val="48"/>
          <w:szCs w:val="48"/>
          <w:highlight w:val="none"/>
          <w:u w:val="none"/>
          <w:lang w:val="en-US" w:eastAsia="zh-CN" w:bidi="ar-SA"/>
        </w:rPr>
        <w:t>国家税务总局锦州市税务局第一稽查局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华文中宋" w:hAnsi="华文中宋" w:eastAsia="华文中宋" w:cs="宋体"/>
          <w:b/>
          <w:color w:val="auto"/>
          <w:kern w:val="0"/>
          <w:sz w:val="72"/>
          <w:szCs w:val="72"/>
          <w:highlight w:val="none"/>
          <w:u w:val="none"/>
          <w:lang w:val="en-US" w:eastAsia="zh-CN" w:bidi="ar-SA"/>
        </w:rPr>
      </w:pPr>
      <w:r>
        <w:rPr>
          <w:rFonts w:hint="eastAsia" w:ascii="华文中宋" w:hAnsi="华文中宋" w:eastAsia="华文中宋" w:cs="宋体"/>
          <w:b/>
          <w:color w:val="auto"/>
          <w:kern w:val="0"/>
          <w:sz w:val="72"/>
          <w:szCs w:val="72"/>
          <w:highlight w:val="none"/>
          <w:u w:val="none"/>
          <w:lang w:val="en-US" w:eastAsia="zh-CN" w:bidi="ar-SA"/>
        </w:rPr>
        <w:t>税务事项通知书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华文中宋" w:hAnsi="华文中宋" w:eastAsia="华文中宋" w:cs="宋体"/>
          <w:b/>
          <w:color w:val="auto"/>
          <w:kern w:val="0"/>
          <w:sz w:val="72"/>
          <w:szCs w:val="72"/>
          <w:highlight w:val="none"/>
          <w:u w:val="none"/>
          <w:lang w:val="en-US" w:eastAsia="zh-CN" w:bidi="ar-SA"/>
        </w:rPr>
      </w:pPr>
      <w:r>
        <w:rPr>
          <w:rFonts w:hint="eastAsia" w:ascii="华文中宋" w:hAnsi="华文中宋" w:eastAsia="华文中宋" w:cs="宋体"/>
          <w:b/>
          <w:color w:val="auto"/>
          <w:kern w:val="0"/>
          <w:sz w:val="36"/>
          <w:szCs w:val="36"/>
          <w:highlight w:val="none"/>
          <w:u w:val="none"/>
          <w:lang w:val="en-US" w:eastAsia="zh-CN" w:bidi="ar-SA"/>
        </w:rPr>
        <w:t>（重大税收违法失信主体告知适用）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ascii="仿宋_GB2312" w:hAnsi="仿宋" w:eastAsia="仿宋_GB2312" w:cs="宋体"/>
          <w:b w:val="0"/>
          <w:color w:val="auto"/>
          <w:kern w:val="2"/>
          <w:sz w:val="28"/>
          <w:szCs w:val="28"/>
          <w:highlight w:val="none"/>
          <w:u w:val="none"/>
          <w:lang w:val="en-US" w:eastAsia="zh-CN" w:bidi="ar-SA"/>
        </w:rPr>
      </w:pPr>
      <w:bookmarkStart w:id="0" w:name="djh"/>
      <w:bookmarkEnd w:id="0"/>
      <w:r>
        <w:rPr>
          <w:rFonts w:hint="eastAsia" w:ascii="仿宋_GB2312" w:hAnsi="仿宋" w:eastAsia="仿宋_GB2312" w:cs="宋体"/>
          <w:b w:val="0"/>
          <w:bCs/>
          <w:color w:val="auto"/>
          <w:spacing w:val="-20"/>
          <w:kern w:val="10"/>
          <w:sz w:val="28"/>
          <w:szCs w:val="28"/>
          <w:highlight w:val="none"/>
          <w:u w:val="none"/>
          <w:lang w:val="en-US" w:eastAsia="zh-CN" w:bidi="ar-SA"/>
        </w:rPr>
        <w:t>锦</w:t>
      </w:r>
      <w:r>
        <w:rPr>
          <w:rFonts w:hint="eastAsia" w:ascii="仿宋_GB2312" w:hAnsi="仿宋" w:eastAsia="仿宋_GB2312" w:cs="宋体"/>
          <w:b w:val="0"/>
          <w:color w:val="auto"/>
          <w:kern w:val="2"/>
          <w:sz w:val="28"/>
          <w:szCs w:val="28"/>
          <w:highlight w:val="none"/>
          <w:u w:val="none"/>
          <w:lang w:val="en-US" w:eastAsia="zh-CN" w:bidi="ar-SA"/>
        </w:rPr>
        <w:t>税一稽税通 〔2026〕3号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156" w:beforeLines="50"/>
        <w:jc w:val="both"/>
        <w:textAlignment w:val="auto"/>
        <w:rPr>
          <w:rFonts w:hint="eastAsia" w:ascii="仿宋_GB2312" w:hAnsi="仿宋" w:eastAsia="仿宋_GB2312" w:cs="Times New Roman"/>
          <w:color w:val="auto"/>
          <w:spacing w:val="-20"/>
          <w:kern w:val="10"/>
          <w:sz w:val="32"/>
          <w:szCs w:val="32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u w:val="none"/>
          <w:lang w:eastAsia="zh-CN"/>
        </w:rPr>
        <w:t>锦州鑫国元金属材料销售有限公司</w:t>
      </w: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</w:rPr>
        <w:t>（</w:t>
      </w: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  <w:lang w:eastAsia="zh-CN"/>
        </w:rPr>
        <w:t>纳税人识</w:t>
      </w: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  <w:lang w:val="en-US" w:eastAsia="zh-CN"/>
        </w:rPr>
        <w:t>别</w:t>
      </w: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  <w:lang w:eastAsia="zh-CN"/>
        </w:rPr>
        <w:t>号</w:t>
      </w: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  <w:lang w:val="en-US" w:eastAsia="zh-CN"/>
        </w:rPr>
        <w:t>:</w:t>
      </w:r>
      <w:r>
        <w:rPr>
          <w:rFonts w:hint="eastAsia" w:ascii="仿宋_GB2312" w:hAnsi="宋体" w:eastAsia="仿宋_GB2312" w:cs="Times New Roman"/>
          <w:b w:val="0"/>
          <w:bCs w:val="0"/>
          <w:color w:val="auto"/>
          <w:sz w:val="32"/>
          <w:szCs w:val="24"/>
          <w:highlight w:val="none"/>
          <w:u w:val="none"/>
          <w:lang w:val="en-US" w:eastAsia="zh-CN"/>
        </w:rPr>
        <w:t>91210700MA0QDQQC6K</w:t>
      </w: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</w:rPr>
        <w:t>）</w:t>
      </w: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  <w:lang w:eastAsia="zh-CN"/>
        </w:rPr>
        <w:t>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640" w:firstLineChars="200"/>
        <w:textAlignment w:val="auto"/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</w:rPr>
      </w:pP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</w:rPr>
        <w:t>事由</w:t>
      </w: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  <w:lang w:eastAsia="zh-CN"/>
        </w:rPr>
        <w:t>:拟将你单位确定为重大税收违法失信主体。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640" w:firstLineChars="200"/>
        <w:textAlignment w:val="auto"/>
        <w:rPr>
          <w:rFonts w:hint="eastAsia" w:ascii="仿宋_GB2312" w:hAnsi="宋体" w:eastAsia="仿宋_GB2312" w:cs="Times New Roman"/>
          <w:b/>
          <w:bCs/>
          <w:color w:val="auto"/>
          <w:sz w:val="32"/>
          <w:szCs w:val="24"/>
          <w:highlight w:val="none"/>
          <w:u w:val="none"/>
          <w:lang w:eastAsia="zh-CN"/>
        </w:rPr>
      </w:pP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</w:rPr>
        <w:t>依据</w:t>
      </w: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  <w:lang w:eastAsia="zh-CN"/>
        </w:rPr>
        <w:t>:根据《重大税收违法失信主体信息公布管理办法》（国家税务总局令第54号）第八条等规定。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640" w:firstLineChars="200"/>
        <w:textAlignment w:val="auto"/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  <w:lang w:eastAsia="zh-CN"/>
        </w:rPr>
      </w:pP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  <w:lang w:eastAsia="zh-CN"/>
        </w:rPr>
        <w:t>我局拟将你单位确定为重大税收违法失信主体，向社会公布失信信息（详细内容见附件），拟将你单位失信信息在国家公共信用信息中心“信用中国”网站公示，并推送至参与联合惩戒部门依法依规采取惩戒措施，税务机关适用 D 级纳税人管理措施（由税务机关纳税信用管理部门按纳税信用制度执行）。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  <w:lang w:eastAsia="zh-CN"/>
        </w:rPr>
      </w:pP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  <w:lang w:eastAsia="zh-CN"/>
        </w:rPr>
        <w:t>你单位有陈述、申辩权利，请自收到本通知书之日起5个工作日内，到我局进行陈述、申辩，并提供相关证据材料；逾期不进行陈述、申辩或提供相关证据材料的，视同放弃权利。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640" w:firstLineChars="200"/>
        <w:textAlignment w:val="auto"/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640" w:firstLineChars="200"/>
        <w:textAlignment w:val="auto"/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  <w:lang w:eastAsia="zh-CN"/>
        </w:rPr>
      </w:pP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  <w:lang w:eastAsia="zh-CN"/>
        </w:rPr>
        <w:t>后附:拟公布的失信信息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ascii="仿宋_GB2312" w:hAnsi="宋体" w:eastAsia="仿宋_GB2312" w:cs="Times New Roman"/>
          <w:color w:val="auto"/>
          <w:sz w:val="32"/>
          <w:szCs w:val="24"/>
          <w:highlight w:val="none"/>
          <w:u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</w:rPr>
      </w:pPr>
      <w:r>
        <w:rPr>
          <w:rFonts w:ascii="仿宋_GB2312" w:hAnsi="宋体" w:eastAsia="仿宋_GB2312" w:cs="Times New Roman"/>
          <w:color w:val="auto"/>
          <w:sz w:val="32"/>
          <w:szCs w:val="24"/>
          <w:highlight w:val="none"/>
          <w:u w:val="none"/>
        </w:rPr>
        <w:t xml:space="preserve">                 </w:t>
      </w: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</w:rPr>
        <w:t>国家税务总局</w:t>
      </w: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  <w:lang w:val="en-US" w:eastAsia="zh-CN"/>
        </w:rPr>
        <w:t>锦州市</w:t>
      </w: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</w:rPr>
        <w:t>税务局</w:t>
      </w: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  <w:lang w:val="en-US" w:eastAsia="zh-CN"/>
        </w:rPr>
        <w:t>第一</w:t>
      </w: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</w:rPr>
        <w:t>稽查局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</w:rPr>
      </w:pP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</w:rPr>
        <w:t xml:space="preserve">                       </w:t>
      </w: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  <w:lang w:val="en-US" w:eastAsia="zh-CN"/>
        </w:rPr>
        <w:t>2026</w:t>
      </w: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</w:rPr>
        <w:t>年</w:t>
      </w:r>
      <w:r>
        <w:rPr>
          <w:rFonts w:hint="default" w:ascii="仿宋_GB2312" w:hAnsi="宋体" w:eastAsia="仿宋_GB2312" w:cs="Times New Roman"/>
          <w:color w:val="auto"/>
          <w:sz w:val="32"/>
          <w:szCs w:val="24"/>
          <w:highlight w:val="none"/>
          <w:u w:val="none"/>
          <w:lang w:val="en"/>
        </w:rPr>
        <w:t>5</w:t>
      </w: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</w:rPr>
        <w:t>月</w:t>
      </w:r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  <w:lang w:val="en-US" w:eastAsia="zh-CN"/>
        </w:rPr>
        <w:t>2</w:t>
      </w:r>
      <w:r>
        <w:rPr>
          <w:rFonts w:hint="default" w:ascii="仿宋_GB2312" w:hAnsi="宋体" w:eastAsia="仿宋_GB2312" w:cs="Times New Roman"/>
          <w:color w:val="auto"/>
          <w:sz w:val="32"/>
          <w:szCs w:val="24"/>
          <w:highlight w:val="none"/>
          <w:u w:val="none"/>
          <w:lang w:val="en" w:eastAsia="zh-CN"/>
        </w:rPr>
        <w:t>5</w:t>
      </w:r>
      <w:bookmarkStart w:id="1" w:name="_GoBack"/>
      <w:bookmarkEnd w:id="1"/>
      <w:r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</w:rPr>
        <w:t>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仿宋_GB2312" w:hAnsi="宋体" w:eastAsia="仿宋_GB2312" w:cs="Times New Roman"/>
          <w:color w:val="auto"/>
          <w:sz w:val="32"/>
          <w:szCs w:val="24"/>
          <w:highlight w:val="none"/>
          <w:u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黑体" w:hAnsi="黑体" w:eastAsia="黑体" w:cs="黑体"/>
          <w:color w:val="auto"/>
          <w:sz w:val="28"/>
          <w:szCs w:val="28"/>
          <w:highlight w:val="none"/>
          <w:u w:val="none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黑体" w:hAnsi="黑体" w:eastAsia="黑体" w:cs="黑体"/>
          <w:color w:val="auto"/>
          <w:sz w:val="28"/>
          <w:szCs w:val="28"/>
          <w:highlight w:val="none"/>
          <w:u w:val="none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黑体" w:hAnsi="黑体" w:eastAsia="黑体" w:cs="黑体"/>
          <w:color w:val="auto"/>
          <w:sz w:val="28"/>
          <w:szCs w:val="28"/>
          <w:highlight w:val="none"/>
          <w:u w:val="none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黑体" w:hAnsi="黑体" w:eastAsia="黑体" w:cs="黑体"/>
          <w:color w:val="auto"/>
          <w:sz w:val="28"/>
          <w:szCs w:val="28"/>
          <w:highlight w:val="none"/>
          <w:u w:val="none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黑体" w:hAnsi="黑体" w:eastAsia="黑体" w:cs="黑体"/>
          <w:color w:val="auto"/>
          <w:sz w:val="28"/>
          <w:szCs w:val="28"/>
          <w:highlight w:val="none"/>
          <w:u w:val="none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黑体" w:hAnsi="黑体" w:eastAsia="黑体" w:cs="黑体"/>
          <w:color w:val="auto"/>
          <w:sz w:val="28"/>
          <w:szCs w:val="28"/>
          <w:highlight w:val="none"/>
          <w:u w:val="none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黑体" w:hAnsi="黑体" w:eastAsia="黑体" w:cs="黑体"/>
          <w:color w:val="auto"/>
          <w:sz w:val="28"/>
          <w:szCs w:val="28"/>
          <w:highlight w:val="none"/>
          <w:u w:val="none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黑体" w:hAnsi="黑体" w:eastAsia="黑体" w:cs="黑体"/>
          <w:color w:val="auto"/>
          <w:sz w:val="28"/>
          <w:szCs w:val="28"/>
          <w:highlight w:val="none"/>
          <w:u w:val="none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黑体" w:hAnsi="黑体" w:eastAsia="黑体" w:cs="黑体"/>
          <w:color w:val="auto"/>
          <w:sz w:val="28"/>
          <w:szCs w:val="28"/>
          <w:highlight w:val="none"/>
          <w:u w:val="none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黑体" w:hAnsi="黑体" w:eastAsia="黑体" w:cs="黑体"/>
          <w:color w:val="auto"/>
          <w:sz w:val="28"/>
          <w:szCs w:val="28"/>
          <w:highlight w:val="none"/>
          <w:u w:val="none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黑体" w:hAnsi="黑体" w:eastAsia="黑体" w:cs="黑体"/>
          <w:color w:val="auto"/>
          <w:sz w:val="28"/>
          <w:szCs w:val="28"/>
          <w:highlight w:val="none"/>
          <w:u w:val="none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黑体" w:hAnsi="黑体" w:eastAsia="黑体" w:cs="黑体"/>
          <w:color w:val="auto"/>
          <w:sz w:val="28"/>
          <w:szCs w:val="28"/>
          <w:highlight w:val="none"/>
          <w:u w:val="none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仿宋" w:hAnsi="仿宋" w:eastAsia="仿宋" w:cs="仿宋"/>
          <w:b/>
          <w:bCs/>
          <w:color w:val="auto"/>
          <w:sz w:val="36"/>
          <w:szCs w:val="36"/>
          <w:highlight w:val="none"/>
          <w:u w:val="none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仿宋" w:hAnsi="仿宋" w:eastAsia="仿宋" w:cs="仿宋"/>
          <w:b/>
          <w:bCs/>
          <w:color w:val="auto"/>
          <w:sz w:val="36"/>
          <w:szCs w:val="36"/>
          <w:highlight w:val="none"/>
          <w:u w:val="none"/>
          <w:lang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6"/>
          <w:szCs w:val="36"/>
          <w:highlight w:val="none"/>
          <w:u w:val="none"/>
          <w:lang w:eastAsia="zh-CN"/>
        </w:rPr>
        <w:t>公布的失信信息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540" w:lineRule="exact"/>
        <w:ind w:firstLine="642" w:firstLineChars="200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sz w:val="32"/>
          <w:szCs w:val="32"/>
          <w:highlight w:val="none"/>
          <w:u w:val="none"/>
          <w:lang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highlight w:val="none"/>
          <w:u w:val="none"/>
          <w:lang w:val="en-US" w:eastAsia="zh-CN"/>
        </w:rPr>
        <w:t>一、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highlight w:val="none"/>
          <w:u w:val="none"/>
          <w:lang w:eastAsia="zh-CN"/>
        </w:rPr>
        <w:t>基本情况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54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u w:val="none"/>
          <w:lang w:eastAsia="zh-CN"/>
        </w:rPr>
        <w:t>纳税人名称:锦州鑫国元金属材料销售有限公司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  <w:t xml:space="preserve">   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54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  <w:t>统一社会信用代码:</w:t>
      </w:r>
      <w:r>
        <w:rPr>
          <w:rFonts w:hint="eastAsia" w:ascii="仿宋" w:hAnsi="仿宋" w:eastAsia="仿宋" w:cs="仿宋"/>
          <w:color w:val="auto"/>
          <w:sz w:val="32"/>
          <w:szCs w:val="24"/>
          <w:highlight w:val="none"/>
          <w:u w:val="none"/>
          <w:lang w:val="en-US" w:eastAsia="zh-CN"/>
        </w:rPr>
        <w:t>91210700MA0QDQQC6K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  <w:t xml:space="preserve"> 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54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  <w:t xml:space="preserve">注册地址:辽宁省锦州市凌河区南阳路金港春天11-35号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54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  <w:t xml:space="preserve">法定代表人:国元   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54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性别：男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54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  <w:t>身份证件号码：211225********3615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540" w:lineRule="exact"/>
        <w:ind w:firstLine="642" w:firstLineChars="200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highlight w:val="none"/>
          <w:u w:val="none"/>
          <w:lang w:val="en-US" w:eastAsia="zh-CN"/>
        </w:rPr>
        <w:t>二、案件性质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54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u w:val="none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  <w:t>虚开增值税专用发票或者虚开用于骗取出口退税、抵扣税款的其他发票；逃避缴纳税款。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540" w:lineRule="exact"/>
        <w:ind w:firstLine="642" w:firstLineChars="200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highlight w:val="none"/>
          <w:u w:val="none"/>
          <w:lang w:val="en-US" w:eastAsia="zh-CN"/>
        </w:rPr>
        <w:t>三、主要违法事实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54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24"/>
          <w:highlight w:val="none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24"/>
          <w:highlight w:val="none"/>
          <w:u w:val="none"/>
          <w:lang w:eastAsia="zh-CN"/>
        </w:rPr>
        <w:t>经国家税务总局锦州市税务局第一稽查局检查，发现其在检查所属期内，主要存在以下问题：让他人为自己开具与实际经营业务情况不符的增值税专用发票</w:t>
      </w:r>
      <w:r>
        <w:rPr>
          <w:rFonts w:hint="eastAsia" w:ascii="仿宋" w:hAnsi="仿宋" w:eastAsia="仿宋" w:cs="仿宋"/>
          <w:color w:val="auto"/>
          <w:sz w:val="32"/>
          <w:szCs w:val="24"/>
          <w:highlight w:val="none"/>
          <w:u w:val="none"/>
          <w:lang w:val="en-US" w:eastAsia="zh-CN"/>
        </w:rPr>
        <w:t>25</w:t>
      </w:r>
      <w:r>
        <w:rPr>
          <w:rFonts w:hint="eastAsia" w:ascii="仿宋" w:hAnsi="仿宋" w:eastAsia="仿宋" w:cs="仿宋"/>
          <w:color w:val="auto"/>
          <w:sz w:val="32"/>
          <w:szCs w:val="24"/>
          <w:highlight w:val="none"/>
          <w:u w:val="none"/>
          <w:lang w:eastAsia="zh-CN"/>
        </w:rPr>
        <w:t>份,金额</w:t>
      </w:r>
      <w:r>
        <w:rPr>
          <w:rFonts w:hint="eastAsia" w:ascii="仿宋" w:hAnsi="仿宋" w:eastAsia="仿宋" w:cs="仿宋"/>
          <w:color w:val="auto"/>
          <w:sz w:val="32"/>
          <w:szCs w:val="24"/>
          <w:highlight w:val="none"/>
          <w:u w:val="none"/>
          <w:lang w:val="en-US" w:eastAsia="zh-CN"/>
        </w:rPr>
        <w:t>236.65</w:t>
      </w:r>
      <w:r>
        <w:rPr>
          <w:rFonts w:hint="eastAsia" w:ascii="仿宋" w:hAnsi="仿宋" w:eastAsia="仿宋" w:cs="仿宋"/>
          <w:color w:val="auto"/>
          <w:sz w:val="32"/>
          <w:szCs w:val="24"/>
          <w:highlight w:val="none"/>
          <w:u w:val="none"/>
          <w:lang w:eastAsia="zh-CN"/>
        </w:rPr>
        <w:t xml:space="preserve"> </w:t>
      </w:r>
      <w:r>
        <w:rPr>
          <w:rFonts w:hint="eastAsia" w:ascii="仿宋" w:hAnsi="仿宋" w:eastAsia="仿宋" w:cs="仿宋"/>
          <w:color w:val="auto"/>
          <w:sz w:val="32"/>
          <w:szCs w:val="24"/>
          <w:highlight w:val="none"/>
          <w:u w:val="none"/>
          <w:lang w:val="en-US" w:eastAsia="zh-CN"/>
        </w:rPr>
        <w:t>万</w:t>
      </w:r>
      <w:r>
        <w:rPr>
          <w:rFonts w:hint="eastAsia" w:ascii="仿宋" w:hAnsi="仿宋" w:eastAsia="仿宋" w:cs="仿宋"/>
          <w:color w:val="auto"/>
          <w:sz w:val="32"/>
          <w:szCs w:val="24"/>
          <w:highlight w:val="none"/>
          <w:u w:val="none"/>
          <w:lang w:eastAsia="zh-CN"/>
        </w:rPr>
        <w:t>元、税额</w:t>
      </w:r>
      <w:r>
        <w:rPr>
          <w:rFonts w:hint="eastAsia" w:ascii="仿宋" w:hAnsi="仿宋" w:eastAsia="仿宋" w:cs="仿宋"/>
          <w:color w:val="auto"/>
          <w:sz w:val="32"/>
          <w:szCs w:val="24"/>
          <w:highlight w:val="none"/>
          <w:u w:val="none"/>
          <w:lang w:val="en-US" w:eastAsia="zh-CN"/>
        </w:rPr>
        <w:t>40.23万</w:t>
      </w:r>
      <w:r>
        <w:rPr>
          <w:rFonts w:hint="eastAsia" w:ascii="仿宋" w:hAnsi="仿宋" w:eastAsia="仿宋" w:cs="仿宋"/>
          <w:color w:val="auto"/>
          <w:sz w:val="32"/>
          <w:szCs w:val="24"/>
          <w:highlight w:val="none"/>
          <w:u w:val="none"/>
          <w:lang w:eastAsia="zh-CN"/>
        </w:rPr>
        <w:t>元；采取逃避缴纳税款手段，不缴或者少缴应纳税款</w:t>
      </w:r>
      <w:r>
        <w:rPr>
          <w:rFonts w:hint="eastAsia" w:ascii="仿宋" w:hAnsi="仿宋" w:eastAsia="仿宋" w:cs="仿宋"/>
          <w:color w:val="auto"/>
          <w:sz w:val="32"/>
          <w:szCs w:val="24"/>
          <w:highlight w:val="none"/>
          <w:u w:val="none"/>
          <w:lang w:val="en-US" w:eastAsia="zh-CN"/>
        </w:rPr>
        <w:t>102.19万元。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540" w:lineRule="exact"/>
        <w:ind w:firstLine="642" w:firstLineChars="200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sz w:val="32"/>
          <w:szCs w:val="24"/>
          <w:highlight w:val="none"/>
          <w:u w:val="none"/>
          <w:lang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24"/>
          <w:highlight w:val="none"/>
          <w:u w:val="none"/>
          <w:lang w:val="en-US" w:eastAsia="zh-CN"/>
        </w:rPr>
        <w:t>四、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24"/>
          <w:highlight w:val="none"/>
          <w:u w:val="none"/>
          <w:lang w:eastAsia="zh-CN"/>
        </w:rPr>
        <w:t>相关法律依据及税务处理处罚情况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40" w:lineRule="exact"/>
        <w:ind w:firstLine="640" w:firstLineChars="20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8"/>
          <w:szCs w:val="48"/>
          <w:highlight w:val="none"/>
          <w:u w:val="none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u w:val="none"/>
          <w:lang w:eastAsia="zh-CN"/>
        </w:rPr>
        <w:t>依照《中华人民共和国税收征收管理法》等相关法律法规的有关规定，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  <w:t>对其处以追缴税款</w:t>
      </w:r>
      <w:r>
        <w:rPr>
          <w:rFonts w:hint="eastAsia" w:ascii="仿宋" w:hAnsi="仿宋" w:eastAsia="仿宋" w:cs="仿宋"/>
          <w:color w:val="auto"/>
          <w:sz w:val="32"/>
          <w:szCs w:val="24"/>
          <w:highlight w:val="none"/>
          <w:u w:val="none"/>
          <w:lang w:val="en-US" w:eastAsia="zh-CN"/>
        </w:rPr>
        <w:t>102.19万元的行政处理、处以罚款51.09万元的行政处罚、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  <w:t>依法移送司法机关。</w:t>
      </w:r>
    </w:p>
    <w:p>
      <w:pPr>
        <w:rPr>
          <w:rFonts w:ascii="Times New Roman" w:hAnsi="Times New Roman" w:eastAsia="宋体" w:cs="Times New Roman"/>
          <w:szCs w:val="21"/>
        </w:rPr>
      </w:pPr>
    </w:p>
    <w:p>
      <w:pPr>
        <w:ind w:firstLine="420" w:firstLineChars="200"/>
        <w:rPr>
          <w:rFonts w:ascii="Times New Roman" w:hAnsi="Times New Roman" w:eastAsia="宋体" w:cs="Times New Roman"/>
          <w:szCs w:val="21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B712C7"/>
    <w:rsid w:val="0D1A2F4C"/>
    <w:rsid w:val="26505680"/>
    <w:rsid w:val="75414921"/>
    <w:rsid w:val="7AB712C7"/>
    <w:rsid w:val="FFF24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2026-05-19T09:39:00Z</dcterms:created>
  <dc:creator>李想</dc:creator>
  <cp:lastModifiedBy>admin</cp:lastModifiedBy>
  <dcterms:modified xsi:type="dcterms:W3CDTF">2026-05-29T08:17:53Z</dcterms:modified>
  <dc:title>国家税务总局锦州市税务局第一稽查局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2052-11.8.2.10183</vt:lpwstr>
  </property>
</Properties>
</file>