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spacing w:before="0" w:after="0"/>
        <w:rPr>
          <w:rFonts w:ascii="Arial" w:hAnsi="Arial" w:cs="Arial"/>
        </w:rPr>
      </w:pPr>
      <w:bookmarkStart w:id="35" w:name="_GoBack"/>
      <w:bookmarkEnd w:id="35"/>
      <w:r>
        <w:rPr>
          <w:rFonts w:ascii="Arial" w:hAnsi="Arial" w:cs="Arial"/>
        </w:rPr>
        <w:t>国家税务总局辽宁省税务局金税三期社保费征管信息系统上线部署项目采购需求</w:t>
      </w:r>
    </w:p>
    <w:p>
      <w:pPr>
        <w:pStyle w:val="5"/>
        <w:spacing w:before="0" w:after="0"/>
        <w:rPr>
          <w:rFonts w:ascii="Arial" w:hAnsi="Arial" w:cs="Arial"/>
        </w:rPr>
      </w:pPr>
    </w:p>
    <w:p>
      <w:pPr>
        <w:pStyle w:val="5"/>
        <w:spacing w:before="0" w:after="0"/>
        <w:rPr>
          <w:rFonts w:ascii="Arial" w:hAnsi="Arial" w:cs="Arial"/>
        </w:rPr>
      </w:pPr>
    </w:p>
    <w:p>
      <w:pPr>
        <w:pStyle w:val="5"/>
        <w:spacing w:before="0" w:after="0"/>
        <w:rPr>
          <w:rFonts w:ascii="Arial" w:hAnsi="Arial" w:cs="Arial"/>
        </w:rPr>
      </w:pPr>
    </w:p>
    <w:p>
      <w:pPr>
        <w:pStyle w:val="5"/>
        <w:spacing w:before="0" w:after="0"/>
        <w:rPr>
          <w:rFonts w:ascii="Arial" w:hAnsi="Arial" w:cs="Arial"/>
        </w:rPr>
      </w:pPr>
    </w:p>
    <w:p>
      <w:pPr>
        <w:pStyle w:val="5"/>
        <w:spacing w:before="0" w:after="0"/>
        <w:rPr>
          <w:rFonts w:ascii="Arial" w:hAnsi="Arial" w:cs="Arial"/>
        </w:rPr>
      </w:pPr>
    </w:p>
    <w:p>
      <w:pPr>
        <w:pStyle w:val="5"/>
        <w:spacing w:before="0" w:after="0"/>
        <w:rPr>
          <w:rFonts w:ascii="Arial" w:hAnsi="Arial" w:cs="Arial"/>
        </w:rPr>
      </w:pPr>
    </w:p>
    <w:p>
      <w:pPr>
        <w:pStyle w:val="5"/>
        <w:spacing w:before="0" w:after="0"/>
        <w:rPr>
          <w:rFonts w:ascii="Arial" w:hAnsi="Arial" w:cs="Arial"/>
        </w:rPr>
      </w:pPr>
    </w:p>
    <w:p>
      <w:pPr>
        <w:pStyle w:val="5"/>
        <w:spacing w:before="0" w:after="0"/>
        <w:rPr>
          <w:rFonts w:ascii="Arial" w:hAnsi="Arial" w:cs="Arial"/>
        </w:rPr>
      </w:pPr>
      <w:r>
        <w:rPr>
          <w:rFonts w:ascii="Arial" w:hAnsi="Arial" w:cs="Arial"/>
        </w:rPr>
        <w:t>包</w:t>
      </w:r>
      <w:r>
        <w:rPr>
          <w:rFonts w:hint="eastAsia" w:ascii="Arial" w:hAnsi="Arial" w:cs="Arial"/>
        </w:rPr>
        <w:t>1：</w:t>
      </w:r>
      <w:r>
        <w:rPr>
          <w:rFonts w:ascii="Arial" w:hAnsi="Arial" w:cs="Arial"/>
        </w:rPr>
        <w:t>金税三期社保费征管</w:t>
      </w:r>
      <w:r>
        <w:rPr>
          <w:rFonts w:hint="eastAsia" w:ascii="Arial" w:hAnsi="Arial" w:cs="Arial"/>
        </w:rPr>
        <w:t>信息系统（标准版）管理子系统</w:t>
      </w:r>
    </w:p>
    <w:p>
      <w:pPr>
        <w:widowControl/>
        <w:adjustRightInd w:val="0"/>
        <w:snapToGrid w:val="0"/>
        <w:spacing w:line="360" w:lineRule="auto"/>
        <w:jc w:val="center"/>
        <w:rPr>
          <w:rFonts w:ascii="宋体" w:hAnsi="宋体" w:cs="方正小标宋简体"/>
          <w:b/>
          <w:bCs/>
          <w:kern w:val="0"/>
          <w:sz w:val="32"/>
          <w:szCs w:val="32"/>
        </w:rPr>
      </w:pPr>
      <w:r>
        <w:rPr>
          <w:rFonts w:ascii="Arial" w:hAnsi="Arial" w:cs="Arial"/>
        </w:rPr>
        <w:br w:type="page"/>
      </w:r>
      <w:r>
        <w:rPr>
          <w:rFonts w:ascii="Arial" w:hAnsi="Arial" w:cs="Arial"/>
          <w:b/>
          <w:bCs/>
          <w:kern w:val="0"/>
          <w:sz w:val="32"/>
          <w:szCs w:val="32"/>
        </w:rPr>
        <w:t>国家税务总局辽宁省税务局金税三期社保费征管</w:t>
      </w:r>
      <w:r>
        <w:rPr>
          <w:rFonts w:hint="eastAsia" w:ascii="宋体" w:hAnsi="宋体" w:cs="方正小标宋简体"/>
          <w:b/>
          <w:bCs/>
          <w:kern w:val="0"/>
          <w:sz w:val="32"/>
          <w:szCs w:val="32"/>
        </w:rPr>
        <w:t>信息系统（标准版）管理子系统上线部署项目需求</w:t>
      </w:r>
    </w:p>
    <w:p>
      <w:pPr>
        <w:keepNext/>
        <w:keepLines/>
        <w:spacing w:line="360" w:lineRule="auto"/>
        <w:outlineLvl w:val="2"/>
        <w:rPr>
          <w:rFonts w:ascii="宋体" w:hAnsi="宋体"/>
          <w:b/>
          <w:sz w:val="24"/>
        </w:rPr>
      </w:pPr>
      <w:r>
        <w:rPr>
          <w:rFonts w:hint="eastAsia" w:ascii="宋体" w:hAnsi="宋体" w:cs="黑体"/>
          <w:b/>
          <w:sz w:val="24"/>
        </w:rPr>
        <w:t>1．项目概述</w:t>
      </w:r>
    </w:p>
    <w:p>
      <w:pPr>
        <w:keepNext/>
        <w:keepLines/>
        <w:spacing w:line="360" w:lineRule="auto"/>
        <w:outlineLvl w:val="3"/>
        <w:rPr>
          <w:rFonts w:ascii="宋体" w:hAnsi="宋体"/>
          <w:b/>
          <w:bCs/>
          <w:sz w:val="24"/>
        </w:rPr>
      </w:pPr>
      <w:r>
        <w:rPr>
          <w:rFonts w:ascii="宋体" w:hAnsi="宋体"/>
          <w:b/>
          <w:bCs/>
          <w:sz w:val="24"/>
        </w:rPr>
        <w:t>1.1</w:t>
      </w:r>
      <w:r>
        <w:rPr>
          <w:rFonts w:hint="eastAsia" w:ascii="宋体" w:hAnsi="宋体"/>
          <w:b/>
          <w:bCs/>
          <w:sz w:val="24"/>
        </w:rPr>
        <w:t>项目背景</w:t>
      </w:r>
    </w:p>
    <w:p>
      <w:pPr>
        <w:suppressAutoHyphens/>
        <w:spacing w:line="360" w:lineRule="auto"/>
        <w:ind w:firstLine="480" w:firstLineChars="200"/>
        <w:rPr>
          <w:rFonts w:ascii="宋体" w:hAnsi="宋体" w:cs="仿宋_GB2312"/>
          <w:sz w:val="24"/>
        </w:rPr>
      </w:pPr>
      <w:r>
        <w:rPr>
          <w:rFonts w:hint="eastAsia" w:ascii="宋体" w:hAnsi="宋体" w:cs="仿宋_GB2312"/>
          <w:sz w:val="24"/>
        </w:rPr>
        <w:t>为提高社会保险资金征管效率，将基本养老保险费、基本医疗保险费、失业保险费等各项社会保险费（以下简称社保费）交由税务部门统一征收。为了落实《深化党和国家机构改革方案》和《税务局征管体制改革方案》要求，自 2019 年起，将基本养老保险费、基本医疗保险费、失业保险费、工伤保险费和生育保险费等各项社保费交由税务部门征收， 实现税费统征统管、同征同查，建立健全部门职责清晰、征管流程规范、缴费服务便民、征收管理高效的社保费征缴体制，全面提高社保资金征管效率，降低征收成本，实现社保费收入安全和可持续增长让中央满意，促进地方经济持续发展让地方满意，依法依规征收让企业满意，保障缴费人合法权益让人民满意。</w:t>
      </w:r>
    </w:p>
    <w:p>
      <w:pPr>
        <w:keepNext/>
        <w:keepLines/>
        <w:spacing w:line="360" w:lineRule="auto"/>
        <w:outlineLvl w:val="3"/>
        <w:rPr>
          <w:rFonts w:ascii="宋体" w:hAnsi="宋体"/>
          <w:b/>
          <w:bCs/>
          <w:sz w:val="24"/>
        </w:rPr>
      </w:pPr>
      <w:r>
        <w:rPr>
          <w:rFonts w:ascii="宋体" w:hAnsi="宋体"/>
          <w:b/>
          <w:bCs/>
          <w:sz w:val="24"/>
        </w:rPr>
        <w:t>1.2</w:t>
      </w:r>
      <w:r>
        <w:rPr>
          <w:rFonts w:hint="eastAsia" w:ascii="宋体" w:hAnsi="宋体"/>
          <w:b/>
          <w:bCs/>
          <w:sz w:val="24"/>
        </w:rPr>
        <w:t>项目内容</w:t>
      </w:r>
    </w:p>
    <w:p>
      <w:pPr>
        <w:suppressAutoHyphens/>
        <w:spacing w:line="360" w:lineRule="auto"/>
        <w:ind w:firstLine="480" w:firstLineChars="200"/>
        <w:rPr>
          <w:rFonts w:ascii="宋体" w:hAnsi="宋体" w:cs="仿宋_GB2312"/>
          <w:sz w:val="24"/>
        </w:rPr>
      </w:pPr>
      <w:r>
        <w:rPr>
          <w:rFonts w:hint="eastAsia" w:ascii="宋体" w:hAnsi="宋体" w:cs="仿宋_GB2312"/>
          <w:sz w:val="24"/>
        </w:rPr>
        <w:t>1）项目目标</w:t>
      </w:r>
    </w:p>
    <w:p>
      <w:pPr>
        <w:suppressAutoHyphens/>
        <w:spacing w:line="360" w:lineRule="auto"/>
        <w:ind w:firstLine="480" w:firstLineChars="200"/>
        <w:rPr>
          <w:rFonts w:ascii="宋体" w:hAnsi="宋体" w:cs="仿宋_GB2312"/>
          <w:sz w:val="24"/>
        </w:rPr>
      </w:pPr>
      <w:r>
        <w:rPr>
          <w:rFonts w:hint="eastAsia" w:ascii="宋体" w:hAnsi="宋体" w:cs="仿宋_GB2312"/>
          <w:sz w:val="24"/>
        </w:rPr>
        <w:t>做好金税三期社保费征管信息系统（标准版）系统的上线实施工作，确保金税三期社保费征管信息系统（标准版）系统的平稳运行，以税务总局提出的“系统运行维护工作应稳定、高效、安全”为指导方针，以“统一管理，统一平台，统一入口，统一流程”为指导思想，提供基于统一规范的运维模式。</w:t>
      </w:r>
    </w:p>
    <w:p>
      <w:pPr>
        <w:suppressAutoHyphens/>
        <w:spacing w:line="360" w:lineRule="auto"/>
        <w:ind w:firstLine="480" w:firstLineChars="200"/>
        <w:rPr>
          <w:rFonts w:ascii="宋体" w:hAnsi="宋体" w:cs="仿宋_GB2312"/>
          <w:sz w:val="24"/>
        </w:rPr>
      </w:pPr>
      <w:r>
        <w:rPr>
          <w:rFonts w:hint="eastAsia" w:ascii="宋体" w:hAnsi="宋体" w:cs="仿宋_GB2312"/>
          <w:sz w:val="24"/>
        </w:rPr>
        <w:t>根据政策要求对金税三期社保费征管信息系统（标准版）系统软件优化完善；对金税三期社保费征管信息系统（标准版）系统实施运行维护。进一步提高国家税务总局辽宁省税务局信息管税能力和纳税服务水平，完善金税三期社保费征管信息系统（标准版）系统软件，满足辽宁省社保和医保征收转换工作的要求，保证辽宁省社保费的征缴平稳。</w:t>
      </w:r>
    </w:p>
    <w:p>
      <w:pPr>
        <w:suppressAutoHyphens/>
        <w:spacing w:line="360" w:lineRule="auto"/>
        <w:ind w:firstLine="480" w:firstLineChars="200"/>
        <w:rPr>
          <w:rFonts w:ascii="宋体" w:hAnsi="宋体" w:cs="仿宋_GB2312"/>
          <w:sz w:val="24"/>
        </w:rPr>
      </w:pPr>
      <w:r>
        <w:rPr>
          <w:rFonts w:ascii="宋体" w:hAnsi="宋体" w:cs="仿宋_GB2312"/>
          <w:sz w:val="24"/>
        </w:rPr>
        <w:t>2</w:t>
      </w:r>
      <w:r>
        <w:rPr>
          <w:rFonts w:hint="eastAsia" w:ascii="宋体" w:hAnsi="宋体" w:cs="仿宋_GB2312"/>
          <w:sz w:val="24"/>
        </w:rPr>
        <w:t>）主要内容</w:t>
      </w:r>
    </w:p>
    <w:tbl>
      <w:tblPr>
        <w:tblStyle w:val="3"/>
        <w:tblW w:w="0" w:type="auto"/>
        <w:tblInd w:w="0" w:type="dxa"/>
        <w:tblLayout w:type="autofit"/>
        <w:tblCellMar>
          <w:top w:w="0" w:type="dxa"/>
          <w:left w:w="108" w:type="dxa"/>
          <w:bottom w:w="0" w:type="dxa"/>
          <w:right w:w="108" w:type="dxa"/>
        </w:tblCellMar>
      </w:tblPr>
      <w:tblGrid>
        <w:gridCol w:w="426"/>
        <w:gridCol w:w="1032"/>
        <w:gridCol w:w="6212"/>
        <w:gridCol w:w="426"/>
        <w:gridCol w:w="426"/>
      </w:tblGrid>
      <w:tr>
        <w:tblPrEx>
          <w:tblCellMar>
            <w:top w:w="0" w:type="dxa"/>
            <w:left w:w="108" w:type="dxa"/>
            <w:bottom w:w="0" w:type="dxa"/>
            <w:right w:w="108" w:type="dxa"/>
          </w:tblCellMar>
        </w:tblPrEx>
        <w:trPr>
          <w:trHeight w:val="285" w:hRule="atLeast"/>
          <w:tblHeader/>
        </w:trPr>
        <w:tc>
          <w:tcPr>
            <w:tcW w:w="0" w:type="auto"/>
            <w:tcBorders>
              <w:top w:val="single" w:color="auto" w:sz="4" w:space="0"/>
              <w:left w:val="single" w:color="auto" w:sz="4" w:space="0"/>
              <w:bottom w:val="single" w:color="auto" w:sz="4" w:space="0"/>
              <w:right w:val="single" w:color="auto" w:sz="4" w:space="0"/>
            </w:tcBorders>
            <w:shd w:val="clear" w:color="auto" w:fill="D9D9D9"/>
            <w:vAlign w:val="center"/>
          </w:tcPr>
          <w:p>
            <w:pPr>
              <w:suppressAutoHyphens/>
              <w:jc w:val="center"/>
              <w:rPr>
                <w:rFonts w:ascii="宋体" w:hAnsi="宋体" w:cs="宋体"/>
                <w:color w:val="000000"/>
                <w:szCs w:val="21"/>
              </w:rPr>
            </w:pPr>
            <w:r>
              <w:rPr>
                <w:rFonts w:hint="eastAsia" w:ascii="宋体" w:hAnsi="宋体" w:cs="宋体"/>
                <w:color w:val="000000"/>
                <w:szCs w:val="21"/>
              </w:rPr>
              <w:t>序号</w:t>
            </w:r>
          </w:p>
        </w:tc>
        <w:tc>
          <w:tcPr>
            <w:tcW w:w="0" w:type="auto"/>
            <w:gridSpan w:val="2"/>
            <w:tcBorders>
              <w:top w:val="single" w:color="auto" w:sz="4" w:space="0"/>
              <w:left w:val="nil"/>
              <w:bottom w:val="single" w:color="auto" w:sz="4" w:space="0"/>
              <w:right w:val="single" w:color="auto" w:sz="4" w:space="0"/>
            </w:tcBorders>
            <w:shd w:val="clear" w:color="auto" w:fill="D9D9D9"/>
            <w:vAlign w:val="center"/>
          </w:tcPr>
          <w:p>
            <w:pPr>
              <w:suppressAutoHyphens/>
              <w:jc w:val="center"/>
              <w:rPr>
                <w:rFonts w:ascii="宋体" w:hAnsi="宋体" w:cs="宋体"/>
                <w:color w:val="000000"/>
                <w:szCs w:val="21"/>
              </w:rPr>
            </w:pPr>
            <w:r>
              <w:rPr>
                <w:rFonts w:hint="eastAsia" w:ascii="宋体" w:hAnsi="宋体" w:cs="宋体"/>
                <w:color w:val="000000"/>
                <w:szCs w:val="21"/>
              </w:rPr>
              <w:t>主要内容</w:t>
            </w:r>
          </w:p>
        </w:tc>
        <w:tc>
          <w:tcPr>
            <w:tcW w:w="0" w:type="auto"/>
            <w:tcBorders>
              <w:top w:val="single" w:color="auto" w:sz="4" w:space="0"/>
              <w:left w:val="nil"/>
              <w:bottom w:val="single" w:color="auto" w:sz="4" w:space="0"/>
              <w:right w:val="single" w:color="auto" w:sz="4" w:space="0"/>
            </w:tcBorders>
            <w:shd w:val="clear" w:color="auto" w:fill="D9D9D9"/>
            <w:vAlign w:val="center"/>
          </w:tcPr>
          <w:p>
            <w:pPr>
              <w:suppressAutoHyphens/>
              <w:jc w:val="center"/>
              <w:rPr>
                <w:rFonts w:ascii="宋体" w:hAnsi="宋体" w:cs="宋体"/>
                <w:color w:val="000000"/>
                <w:szCs w:val="21"/>
              </w:rPr>
            </w:pPr>
            <w:r>
              <w:rPr>
                <w:rFonts w:hint="eastAsia" w:ascii="宋体" w:hAnsi="宋体" w:cs="宋体"/>
                <w:color w:val="000000"/>
                <w:szCs w:val="21"/>
              </w:rPr>
              <w:t>数量</w:t>
            </w:r>
          </w:p>
        </w:tc>
        <w:tc>
          <w:tcPr>
            <w:tcW w:w="0" w:type="auto"/>
            <w:tcBorders>
              <w:top w:val="single" w:color="auto" w:sz="4" w:space="0"/>
              <w:left w:val="nil"/>
              <w:bottom w:val="single" w:color="auto" w:sz="4" w:space="0"/>
              <w:right w:val="single" w:color="auto" w:sz="4" w:space="0"/>
            </w:tcBorders>
            <w:shd w:val="clear" w:color="auto" w:fill="D9D9D9"/>
            <w:vAlign w:val="center"/>
          </w:tcPr>
          <w:p>
            <w:pPr>
              <w:suppressAutoHyphens/>
              <w:jc w:val="center"/>
              <w:rPr>
                <w:rFonts w:ascii="宋体" w:hAnsi="宋体" w:cs="宋体"/>
                <w:color w:val="000000"/>
                <w:szCs w:val="21"/>
              </w:rPr>
            </w:pPr>
            <w:r>
              <w:rPr>
                <w:rFonts w:hint="eastAsia" w:ascii="宋体" w:hAnsi="宋体" w:cs="宋体"/>
                <w:color w:val="000000"/>
                <w:szCs w:val="21"/>
              </w:rPr>
              <w:t>单位</w:t>
            </w:r>
          </w:p>
        </w:tc>
      </w:tr>
      <w:tr>
        <w:tblPrEx>
          <w:tblCellMar>
            <w:top w:w="0" w:type="dxa"/>
            <w:left w:w="108" w:type="dxa"/>
            <w:bottom w:w="0" w:type="dxa"/>
            <w:right w:w="108" w:type="dxa"/>
          </w:tblCellMar>
        </w:tblPrEx>
        <w:trPr>
          <w:trHeight w:val="354" w:hRule="atLeast"/>
        </w:trPr>
        <w:tc>
          <w:tcPr>
            <w:tcW w:w="0" w:type="auto"/>
            <w:tcBorders>
              <w:top w:val="nil"/>
              <w:left w:val="single" w:color="auto" w:sz="4" w:space="0"/>
              <w:bottom w:val="single" w:color="auto" w:sz="4" w:space="0"/>
              <w:right w:val="single" w:color="auto" w:sz="4" w:space="0"/>
            </w:tcBorders>
            <w:vAlign w:val="center"/>
          </w:tcPr>
          <w:p>
            <w:pPr>
              <w:suppressAutoHyphens/>
              <w:jc w:val="center"/>
              <w:rPr>
                <w:rFonts w:ascii="宋体" w:hAnsi="宋体"/>
                <w:color w:val="000000"/>
                <w:szCs w:val="21"/>
              </w:rPr>
            </w:pPr>
            <w:r>
              <w:rPr>
                <w:rFonts w:ascii="宋体" w:hAnsi="宋体"/>
                <w:color w:val="000000"/>
                <w:szCs w:val="21"/>
              </w:rPr>
              <w:t>1</w:t>
            </w:r>
          </w:p>
        </w:tc>
        <w:tc>
          <w:tcPr>
            <w:tcW w:w="1032" w:type="dxa"/>
            <w:tcBorders>
              <w:top w:val="nil"/>
              <w:left w:val="nil"/>
              <w:bottom w:val="single" w:color="auto" w:sz="4" w:space="0"/>
              <w:right w:val="single" w:color="auto" w:sz="4" w:space="0"/>
            </w:tcBorders>
            <w:vAlign w:val="center"/>
          </w:tcPr>
          <w:p>
            <w:pPr>
              <w:suppressAutoHyphens/>
              <w:jc w:val="center"/>
              <w:rPr>
                <w:rFonts w:ascii="宋体" w:hAnsi="宋体" w:cs="宋体"/>
                <w:color w:val="000000"/>
                <w:szCs w:val="21"/>
              </w:rPr>
            </w:pPr>
            <w:r>
              <w:rPr>
                <w:rFonts w:hint="eastAsia" w:ascii="宋体" w:hAnsi="宋体" w:cs="宋体"/>
                <w:color w:val="000000"/>
                <w:szCs w:val="21"/>
              </w:rPr>
              <w:t>上线总集成</w:t>
            </w:r>
          </w:p>
        </w:tc>
        <w:tc>
          <w:tcPr>
            <w:tcW w:w="6547" w:type="dxa"/>
            <w:tcBorders>
              <w:top w:val="nil"/>
              <w:left w:val="nil"/>
              <w:bottom w:val="single" w:color="auto" w:sz="4" w:space="0"/>
              <w:right w:val="single" w:color="auto" w:sz="4" w:space="0"/>
            </w:tcBorders>
            <w:vAlign w:val="center"/>
          </w:tcPr>
          <w:p>
            <w:pPr>
              <w:suppressAutoHyphens/>
              <w:jc w:val="left"/>
              <w:rPr>
                <w:rFonts w:ascii="宋体" w:hAnsi="宋体" w:cs="宋体"/>
                <w:color w:val="000000"/>
                <w:szCs w:val="21"/>
              </w:rPr>
            </w:pPr>
            <w:r>
              <w:rPr>
                <w:rFonts w:hint="eastAsia" w:ascii="宋体" w:hAnsi="宋体" w:cs="宋体"/>
                <w:color w:val="000000"/>
                <w:szCs w:val="21"/>
              </w:rPr>
              <w:t xml:space="preserve">协助上线单位做好上线管控，包括协助制定区局上线实施方案，并根据上线实施方案要求，开展系统环境搭建、系统初始化、数据迁移、培训辅导、全流程测试、上线切换等上线事项的过程管控，协调和管理各方完成计划内工作，提交满足要求的工作成果，并对工作成果进行初步审查。 </w:t>
            </w:r>
          </w:p>
        </w:tc>
        <w:tc>
          <w:tcPr>
            <w:tcW w:w="0" w:type="auto"/>
            <w:tcBorders>
              <w:top w:val="nil"/>
              <w:left w:val="nil"/>
              <w:bottom w:val="single" w:color="auto" w:sz="4" w:space="0"/>
              <w:right w:val="single" w:color="auto" w:sz="4" w:space="0"/>
            </w:tcBorders>
            <w:vAlign w:val="center"/>
          </w:tcPr>
          <w:p>
            <w:pPr>
              <w:suppressAutoHyphens/>
              <w:jc w:val="center"/>
              <w:rPr>
                <w:rFonts w:ascii="宋体" w:hAnsi="宋体"/>
                <w:color w:val="000000"/>
                <w:szCs w:val="21"/>
              </w:rPr>
            </w:pPr>
            <w:r>
              <w:rPr>
                <w:rFonts w:ascii="宋体" w:hAnsi="宋体"/>
                <w:color w:val="000000"/>
                <w:szCs w:val="21"/>
              </w:rPr>
              <w:t>1</w:t>
            </w:r>
          </w:p>
        </w:tc>
        <w:tc>
          <w:tcPr>
            <w:tcW w:w="0" w:type="auto"/>
            <w:tcBorders>
              <w:top w:val="nil"/>
              <w:left w:val="nil"/>
              <w:bottom w:val="single" w:color="auto" w:sz="4" w:space="0"/>
              <w:right w:val="single" w:color="auto" w:sz="4" w:space="0"/>
            </w:tcBorders>
            <w:vAlign w:val="center"/>
          </w:tcPr>
          <w:p>
            <w:pPr>
              <w:suppressAutoHyphens/>
              <w:jc w:val="center"/>
              <w:rPr>
                <w:rFonts w:ascii="宋体" w:hAnsi="宋体" w:cs="宋体"/>
                <w:color w:val="000000"/>
                <w:szCs w:val="21"/>
              </w:rPr>
            </w:pPr>
            <w:r>
              <w:rPr>
                <w:rFonts w:hint="eastAsia" w:ascii="宋体" w:hAnsi="宋体" w:cs="宋体"/>
                <w:color w:val="000000"/>
                <w:szCs w:val="21"/>
              </w:rPr>
              <w:t>项</w:t>
            </w:r>
          </w:p>
        </w:tc>
      </w:tr>
      <w:tr>
        <w:tblPrEx>
          <w:tblCellMar>
            <w:top w:w="0" w:type="dxa"/>
            <w:left w:w="108" w:type="dxa"/>
            <w:bottom w:w="0" w:type="dxa"/>
            <w:right w:w="108" w:type="dxa"/>
          </w:tblCellMar>
        </w:tblPrEx>
        <w:trPr>
          <w:trHeight w:val="300" w:hRule="atLeast"/>
        </w:trPr>
        <w:tc>
          <w:tcPr>
            <w:tcW w:w="0" w:type="auto"/>
            <w:tcBorders>
              <w:top w:val="nil"/>
              <w:left w:val="single" w:color="auto" w:sz="4" w:space="0"/>
              <w:bottom w:val="single" w:color="auto" w:sz="4" w:space="0"/>
              <w:right w:val="single" w:color="auto" w:sz="4" w:space="0"/>
            </w:tcBorders>
            <w:vAlign w:val="center"/>
          </w:tcPr>
          <w:p>
            <w:pPr>
              <w:suppressAutoHyphens/>
              <w:jc w:val="center"/>
              <w:rPr>
                <w:rFonts w:ascii="宋体" w:hAnsi="宋体"/>
                <w:color w:val="000000"/>
                <w:szCs w:val="21"/>
              </w:rPr>
            </w:pPr>
            <w:r>
              <w:rPr>
                <w:rFonts w:ascii="宋体" w:hAnsi="宋体"/>
                <w:color w:val="000000"/>
                <w:szCs w:val="21"/>
              </w:rPr>
              <w:t>2</w:t>
            </w:r>
          </w:p>
        </w:tc>
        <w:tc>
          <w:tcPr>
            <w:tcW w:w="1032" w:type="dxa"/>
            <w:tcBorders>
              <w:top w:val="nil"/>
              <w:left w:val="nil"/>
              <w:bottom w:val="single" w:color="auto" w:sz="4" w:space="0"/>
              <w:right w:val="single" w:color="auto" w:sz="4" w:space="0"/>
            </w:tcBorders>
            <w:vAlign w:val="center"/>
          </w:tcPr>
          <w:p>
            <w:pPr>
              <w:suppressAutoHyphens/>
              <w:jc w:val="center"/>
              <w:rPr>
                <w:rFonts w:ascii="宋体" w:hAnsi="宋体" w:cs="宋体"/>
                <w:color w:val="000000"/>
                <w:szCs w:val="21"/>
              </w:rPr>
            </w:pPr>
            <w:r>
              <w:rPr>
                <w:rFonts w:hint="eastAsia" w:ascii="宋体" w:hAnsi="宋体" w:cs="宋体"/>
                <w:color w:val="000000"/>
                <w:szCs w:val="21"/>
              </w:rPr>
              <w:t>环境</w:t>
            </w:r>
          </w:p>
          <w:p>
            <w:pPr>
              <w:suppressAutoHyphens/>
              <w:jc w:val="center"/>
              <w:rPr>
                <w:rFonts w:ascii="宋体" w:hAnsi="宋体" w:cs="宋体"/>
                <w:color w:val="000000"/>
                <w:szCs w:val="21"/>
              </w:rPr>
            </w:pPr>
            <w:r>
              <w:rPr>
                <w:rFonts w:hint="eastAsia" w:ascii="宋体" w:hAnsi="宋体" w:cs="宋体"/>
                <w:color w:val="000000"/>
                <w:szCs w:val="21"/>
              </w:rPr>
              <w:t>部署</w:t>
            </w:r>
          </w:p>
        </w:tc>
        <w:tc>
          <w:tcPr>
            <w:tcW w:w="6547" w:type="dxa"/>
            <w:tcBorders>
              <w:top w:val="nil"/>
              <w:left w:val="nil"/>
              <w:bottom w:val="single" w:color="auto" w:sz="4" w:space="0"/>
              <w:right w:val="single" w:color="auto" w:sz="4" w:space="0"/>
            </w:tcBorders>
            <w:vAlign w:val="center"/>
          </w:tcPr>
          <w:p>
            <w:pPr>
              <w:suppressAutoHyphens/>
              <w:jc w:val="left"/>
              <w:rPr>
                <w:rFonts w:ascii="宋体" w:hAnsi="宋体" w:cs="宋体"/>
                <w:color w:val="000000"/>
                <w:szCs w:val="21"/>
              </w:rPr>
            </w:pPr>
            <w:r>
              <w:rPr>
                <w:rFonts w:hint="eastAsia" w:ascii="宋体" w:hAnsi="宋体" w:cs="宋体"/>
                <w:color w:val="000000"/>
                <w:szCs w:val="21"/>
              </w:rPr>
              <w:t>完成预生产、生产环境的实施部署，保障上线过程中系统运行稳定，按期完成上线切换。</w:t>
            </w:r>
          </w:p>
        </w:tc>
        <w:tc>
          <w:tcPr>
            <w:tcW w:w="0" w:type="auto"/>
            <w:tcBorders>
              <w:top w:val="nil"/>
              <w:left w:val="nil"/>
              <w:bottom w:val="single" w:color="auto" w:sz="4" w:space="0"/>
              <w:right w:val="single" w:color="auto" w:sz="4" w:space="0"/>
            </w:tcBorders>
            <w:vAlign w:val="center"/>
          </w:tcPr>
          <w:p>
            <w:pPr>
              <w:suppressAutoHyphens/>
              <w:jc w:val="center"/>
              <w:rPr>
                <w:rFonts w:ascii="宋体" w:hAnsi="宋体"/>
                <w:color w:val="000000"/>
                <w:szCs w:val="21"/>
              </w:rPr>
            </w:pPr>
            <w:r>
              <w:rPr>
                <w:rFonts w:ascii="宋体" w:hAnsi="宋体"/>
                <w:color w:val="000000"/>
                <w:szCs w:val="21"/>
              </w:rPr>
              <w:t>1</w:t>
            </w:r>
          </w:p>
        </w:tc>
        <w:tc>
          <w:tcPr>
            <w:tcW w:w="0" w:type="auto"/>
            <w:tcBorders>
              <w:top w:val="nil"/>
              <w:left w:val="nil"/>
              <w:bottom w:val="single" w:color="auto" w:sz="4" w:space="0"/>
              <w:right w:val="single" w:color="auto" w:sz="4" w:space="0"/>
            </w:tcBorders>
            <w:vAlign w:val="center"/>
          </w:tcPr>
          <w:p>
            <w:pPr>
              <w:suppressAutoHyphens/>
              <w:jc w:val="center"/>
              <w:rPr>
                <w:rFonts w:ascii="宋体" w:hAnsi="宋体" w:cs="宋体"/>
                <w:color w:val="000000"/>
                <w:szCs w:val="21"/>
              </w:rPr>
            </w:pPr>
            <w:r>
              <w:rPr>
                <w:rFonts w:hint="eastAsia" w:ascii="宋体" w:hAnsi="宋体" w:cs="宋体"/>
                <w:color w:val="000000"/>
                <w:szCs w:val="21"/>
              </w:rPr>
              <w:t>项</w:t>
            </w:r>
          </w:p>
        </w:tc>
      </w:tr>
      <w:tr>
        <w:tblPrEx>
          <w:tblCellMar>
            <w:top w:w="0" w:type="dxa"/>
            <w:left w:w="108" w:type="dxa"/>
            <w:bottom w:w="0" w:type="dxa"/>
            <w:right w:w="108" w:type="dxa"/>
          </w:tblCellMar>
        </w:tblPrEx>
        <w:trPr>
          <w:trHeight w:val="862" w:hRule="atLeast"/>
        </w:trPr>
        <w:tc>
          <w:tcPr>
            <w:tcW w:w="0" w:type="auto"/>
            <w:tcBorders>
              <w:top w:val="nil"/>
              <w:left w:val="single" w:color="auto" w:sz="4" w:space="0"/>
              <w:bottom w:val="single" w:color="auto" w:sz="4" w:space="0"/>
              <w:right w:val="single" w:color="auto" w:sz="4" w:space="0"/>
            </w:tcBorders>
            <w:vAlign w:val="center"/>
          </w:tcPr>
          <w:p>
            <w:pPr>
              <w:suppressAutoHyphens/>
              <w:jc w:val="center"/>
              <w:rPr>
                <w:rFonts w:ascii="宋体" w:hAnsi="宋体"/>
                <w:color w:val="000000"/>
                <w:szCs w:val="21"/>
              </w:rPr>
            </w:pPr>
            <w:r>
              <w:rPr>
                <w:rFonts w:ascii="宋体" w:hAnsi="宋体"/>
                <w:color w:val="000000"/>
                <w:szCs w:val="21"/>
              </w:rPr>
              <w:t>3</w:t>
            </w:r>
          </w:p>
        </w:tc>
        <w:tc>
          <w:tcPr>
            <w:tcW w:w="1032" w:type="dxa"/>
            <w:tcBorders>
              <w:top w:val="nil"/>
              <w:left w:val="nil"/>
              <w:bottom w:val="single" w:color="auto" w:sz="4" w:space="0"/>
              <w:right w:val="single" w:color="auto" w:sz="4" w:space="0"/>
            </w:tcBorders>
            <w:vAlign w:val="center"/>
          </w:tcPr>
          <w:p>
            <w:pPr>
              <w:suppressAutoHyphens/>
              <w:jc w:val="center"/>
              <w:rPr>
                <w:rFonts w:ascii="宋体" w:hAnsi="宋体" w:cs="宋体"/>
                <w:color w:val="000000"/>
                <w:szCs w:val="21"/>
              </w:rPr>
            </w:pPr>
            <w:r>
              <w:rPr>
                <w:rFonts w:hint="eastAsia" w:ascii="宋体" w:hAnsi="宋体" w:cs="宋体"/>
                <w:color w:val="000000"/>
                <w:szCs w:val="21"/>
              </w:rPr>
              <w:t>系统初始化</w:t>
            </w:r>
          </w:p>
        </w:tc>
        <w:tc>
          <w:tcPr>
            <w:tcW w:w="6547" w:type="dxa"/>
            <w:tcBorders>
              <w:top w:val="nil"/>
              <w:left w:val="nil"/>
              <w:bottom w:val="single" w:color="auto" w:sz="4" w:space="0"/>
              <w:right w:val="single" w:color="auto" w:sz="4" w:space="0"/>
            </w:tcBorders>
            <w:vAlign w:val="center"/>
          </w:tcPr>
          <w:p>
            <w:pPr>
              <w:suppressAutoHyphens/>
              <w:jc w:val="left"/>
              <w:rPr>
                <w:rFonts w:ascii="宋体" w:hAnsi="宋体" w:cs="宋体"/>
                <w:color w:val="000000"/>
                <w:szCs w:val="21"/>
              </w:rPr>
            </w:pPr>
            <w:r>
              <w:rPr>
                <w:rFonts w:hint="eastAsia" w:ascii="宋体" w:hAnsi="宋体" w:cs="宋体"/>
                <w:color w:val="000000"/>
                <w:szCs w:val="21"/>
              </w:rPr>
              <w:t>系统初始化工作整体实施过程主要分成三个阶段，分别为采集准备阶段、采集实施阶段、检查验证阶段。</w:t>
            </w:r>
          </w:p>
        </w:tc>
        <w:tc>
          <w:tcPr>
            <w:tcW w:w="0" w:type="auto"/>
            <w:tcBorders>
              <w:top w:val="nil"/>
              <w:left w:val="nil"/>
              <w:bottom w:val="single" w:color="auto" w:sz="4" w:space="0"/>
              <w:right w:val="single" w:color="auto" w:sz="4" w:space="0"/>
            </w:tcBorders>
            <w:vAlign w:val="center"/>
          </w:tcPr>
          <w:p>
            <w:pPr>
              <w:suppressAutoHyphens/>
              <w:jc w:val="center"/>
              <w:rPr>
                <w:rFonts w:ascii="宋体" w:hAnsi="宋体"/>
                <w:color w:val="000000"/>
                <w:szCs w:val="21"/>
              </w:rPr>
            </w:pPr>
            <w:r>
              <w:rPr>
                <w:rFonts w:ascii="宋体" w:hAnsi="宋体"/>
                <w:color w:val="000000"/>
                <w:szCs w:val="21"/>
              </w:rPr>
              <w:t>1</w:t>
            </w:r>
          </w:p>
        </w:tc>
        <w:tc>
          <w:tcPr>
            <w:tcW w:w="0" w:type="auto"/>
            <w:tcBorders>
              <w:top w:val="nil"/>
              <w:left w:val="nil"/>
              <w:bottom w:val="single" w:color="auto" w:sz="4" w:space="0"/>
              <w:right w:val="single" w:color="auto" w:sz="4" w:space="0"/>
            </w:tcBorders>
            <w:vAlign w:val="center"/>
          </w:tcPr>
          <w:p>
            <w:pPr>
              <w:suppressAutoHyphens/>
              <w:jc w:val="center"/>
              <w:rPr>
                <w:rFonts w:ascii="宋体" w:hAnsi="宋体" w:cs="宋体"/>
                <w:color w:val="000000"/>
                <w:szCs w:val="21"/>
              </w:rPr>
            </w:pPr>
            <w:r>
              <w:rPr>
                <w:rFonts w:hint="eastAsia" w:ascii="宋体" w:hAnsi="宋体" w:cs="宋体"/>
                <w:color w:val="000000"/>
                <w:szCs w:val="21"/>
              </w:rPr>
              <w:t>项</w:t>
            </w:r>
          </w:p>
        </w:tc>
      </w:tr>
      <w:tr>
        <w:tblPrEx>
          <w:tblCellMar>
            <w:top w:w="0" w:type="dxa"/>
            <w:left w:w="108" w:type="dxa"/>
            <w:bottom w:w="0" w:type="dxa"/>
            <w:right w:w="108" w:type="dxa"/>
          </w:tblCellMar>
        </w:tblPrEx>
        <w:trPr>
          <w:trHeight w:val="1025" w:hRule="atLeast"/>
        </w:trPr>
        <w:tc>
          <w:tcPr>
            <w:tcW w:w="0" w:type="auto"/>
            <w:tcBorders>
              <w:top w:val="nil"/>
              <w:left w:val="single" w:color="auto" w:sz="4" w:space="0"/>
              <w:bottom w:val="single" w:color="auto" w:sz="4" w:space="0"/>
              <w:right w:val="single" w:color="auto" w:sz="4" w:space="0"/>
            </w:tcBorders>
            <w:vAlign w:val="center"/>
          </w:tcPr>
          <w:p>
            <w:pPr>
              <w:suppressAutoHyphens/>
              <w:jc w:val="center"/>
              <w:rPr>
                <w:rFonts w:ascii="宋体" w:hAnsi="宋体"/>
                <w:color w:val="000000"/>
                <w:szCs w:val="21"/>
              </w:rPr>
            </w:pPr>
            <w:r>
              <w:rPr>
                <w:rFonts w:ascii="宋体" w:hAnsi="宋体"/>
                <w:color w:val="000000"/>
                <w:szCs w:val="21"/>
              </w:rPr>
              <w:t>4</w:t>
            </w:r>
          </w:p>
        </w:tc>
        <w:tc>
          <w:tcPr>
            <w:tcW w:w="1032" w:type="dxa"/>
            <w:tcBorders>
              <w:top w:val="nil"/>
              <w:left w:val="nil"/>
              <w:bottom w:val="single" w:color="auto" w:sz="4" w:space="0"/>
              <w:right w:val="single" w:color="auto" w:sz="4" w:space="0"/>
            </w:tcBorders>
            <w:vAlign w:val="center"/>
          </w:tcPr>
          <w:p>
            <w:pPr>
              <w:suppressAutoHyphens/>
              <w:jc w:val="center"/>
              <w:rPr>
                <w:rFonts w:ascii="宋体" w:hAnsi="宋体" w:cs="宋体"/>
                <w:color w:val="000000"/>
                <w:szCs w:val="21"/>
              </w:rPr>
            </w:pPr>
            <w:r>
              <w:rPr>
                <w:rFonts w:hint="eastAsia" w:ascii="宋体" w:hAnsi="宋体" w:cs="宋体"/>
                <w:color w:val="000000"/>
                <w:szCs w:val="21"/>
              </w:rPr>
              <w:t>数据</w:t>
            </w:r>
          </w:p>
          <w:p>
            <w:pPr>
              <w:suppressAutoHyphens/>
              <w:jc w:val="center"/>
              <w:rPr>
                <w:rFonts w:ascii="宋体" w:hAnsi="宋体" w:cs="宋体"/>
                <w:color w:val="000000"/>
                <w:szCs w:val="21"/>
              </w:rPr>
            </w:pPr>
            <w:r>
              <w:rPr>
                <w:rFonts w:hint="eastAsia" w:ascii="宋体" w:hAnsi="宋体" w:cs="宋体"/>
                <w:color w:val="000000"/>
                <w:szCs w:val="21"/>
              </w:rPr>
              <w:t>迁移</w:t>
            </w:r>
          </w:p>
        </w:tc>
        <w:tc>
          <w:tcPr>
            <w:tcW w:w="6547" w:type="dxa"/>
            <w:tcBorders>
              <w:top w:val="nil"/>
              <w:left w:val="nil"/>
              <w:bottom w:val="single" w:color="auto" w:sz="4" w:space="0"/>
              <w:right w:val="single" w:color="auto" w:sz="4" w:space="0"/>
            </w:tcBorders>
            <w:vAlign w:val="center"/>
          </w:tcPr>
          <w:p>
            <w:pPr>
              <w:suppressAutoHyphens/>
              <w:jc w:val="left"/>
              <w:rPr>
                <w:rFonts w:ascii="宋体" w:hAnsi="宋体" w:cs="宋体"/>
                <w:color w:val="000000"/>
                <w:szCs w:val="21"/>
              </w:rPr>
            </w:pPr>
            <w:r>
              <w:rPr>
                <w:rFonts w:hint="eastAsia" w:ascii="宋体" w:hAnsi="宋体" w:cs="宋体"/>
                <w:color w:val="000000"/>
                <w:szCs w:val="21"/>
              </w:rPr>
              <w:t>金税三期社保费征管信息系统（标准版）数据迁移工作，是将人社、医保部门按信息共享平台2.0的要求移交税务机关征收社会保险费所需的参保基础数据，税务机关经过数据转换处理投放到新系统中，整个过程包括数据接收、检查、清洗、比对、整改、加工、转换和投放等环节。</w:t>
            </w:r>
          </w:p>
        </w:tc>
        <w:tc>
          <w:tcPr>
            <w:tcW w:w="0" w:type="auto"/>
            <w:tcBorders>
              <w:top w:val="nil"/>
              <w:left w:val="nil"/>
              <w:bottom w:val="single" w:color="auto" w:sz="4" w:space="0"/>
              <w:right w:val="single" w:color="auto" w:sz="4" w:space="0"/>
            </w:tcBorders>
            <w:vAlign w:val="center"/>
          </w:tcPr>
          <w:p>
            <w:pPr>
              <w:suppressAutoHyphens/>
              <w:jc w:val="center"/>
              <w:rPr>
                <w:rFonts w:ascii="宋体" w:hAnsi="宋体"/>
                <w:color w:val="000000"/>
                <w:szCs w:val="21"/>
              </w:rPr>
            </w:pPr>
            <w:r>
              <w:rPr>
                <w:rFonts w:ascii="宋体" w:hAnsi="宋体"/>
                <w:color w:val="000000"/>
                <w:szCs w:val="21"/>
              </w:rPr>
              <w:t>1</w:t>
            </w:r>
          </w:p>
        </w:tc>
        <w:tc>
          <w:tcPr>
            <w:tcW w:w="0" w:type="auto"/>
            <w:tcBorders>
              <w:top w:val="nil"/>
              <w:left w:val="nil"/>
              <w:bottom w:val="single" w:color="auto" w:sz="4" w:space="0"/>
              <w:right w:val="single" w:color="auto" w:sz="4" w:space="0"/>
            </w:tcBorders>
            <w:vAlign w:val="center"/>
          </w:tcPr>
          <w:p>
            <w:pPr>
              <w:suppressAutoHyphens/>
              <w:jc w:val="center"/>
              <w:rPr>
                <w:rFonts w:ascii="宋体" w:hAnsi="宋体" w:cs="宋体"/>
                <w:color w:val="000000"/>
                <w:szCs w:val="21"/>
              </w:rPr>
            </w:pPr>
            <w:r>
              <w:rPr>
                <w:rFonts w:hint="eastAsia" w:ascii="宋体" w:hAnsi="宋体" w:cs="宋体"/>
                <w:color w:val="000000"/>
                <w:szCs w:val="21"/>
              </w:rPr>
              <w:t>项</w:t>
            </w:r>
          </w:p>
        </w:tc>
      </w:tr>
      <w:tr>
        <w:tblPrEx>
          <w:tblCellMar>
            <w:top w:w="0" w:type="dxa"/>
            <w:left w:w="108" w:type="dxa"/>
            <w:bottom w:w="0" w:type="dxa"/>
            <w:right w:w="108" w:type="dxa"/>
          </w:tblCellMar>
        </w:tblPrEx>
        <w:trPr>
          <w:trHeight w:val="1425" w:hRule="atLeast"/>
        </w:trPr>
        <w:tc>
          <w:tcPr>
            <w:tcW w:w="0" w:type="auto"/>
            <w:tcBorders>
              <w:top w:val="nil"/>
              <w:left w:val="single" w:color="auto" w:sz="4" w:space="0"/>
              <w:bottom w:val="single" w:color="auto" w:sz="4" w:space="0"/>
              <w:right w:val="single" w:color="auto" w:sz="4" w:space="0"/>
            </w:tcBorders>
            <w:vAlign w:val="center"/>
          </w:tcPr>
          <w:p>
            <w:pPr>
              <w:suppressAutoHyphens/>
              <w:jc w:val="center"/>
              <w:rPr>
                <w:rFonts w:ascii="宋体" w:hAnsi="宋体"/>
                <w:color w:val="000000"/>
                <w:szCs w:val="21"/>
              </w:rPr>
            </w:pPr>
            <w:r>
              <w:rPr>
                <w:rFonts w:ascii="宋体" w:hAnsi="宋体"/>
                <w:color w:val="000000"/>
                <w:szCs w:val="21"/>
              </w:rPr>
              <w:t>5</w:t>
            </w:r>
          </w:p>
        </w:tc>
        <w:tc>
          <w:tcPr>
            <w:tcW w:w="1032" w:type="dxa"/>
            <w:tcBorders>
              <w:top w:val="nil"/>
              <w:left w:val="nil"/>
              <w:bottom w:val="single" w:color="auto" w:sz="4" w:space="0"/>
              <w:right w:val="single" w:color="auto" w:sz="4" w:space="0"/>
            </w:tcBorders>
            <w:noWrap/>
            <w:vAlign w:val="center"/>
          </w:tcPr>
          <w:p>
            <w:pPr>
              <w:suppressAutoHyphens/>
              <w:jc w:val="center"/>
              <w:rPr>
                <w:rFonts w:ascii="宋体" w:hAnsi="宋体" w:cs="宋体"/>
                <w:color w:val="000000"/>
                <w:szCs w:val="21"/>
              </w:rPr>
            </w:pPr>
            <w:r>
              <w:rPr>
                <w:rFonts w:hint="eastAsia" w:ascii="宋体" w:hAnsi="宋体" w:cs="宋体"/>
                <w:color w:val="000000"/>
                <w:szCs w:val="21"/>
              </w:rPr>
              <w:t>用户</w:t>
            </w:r>
          </w:p>
          <w:p>
            <w:pPr>
              <w:suppressAutoHyphens/>
              <w:jc w:val="center"/>
              <w:rPr>
                <w:rFonts w:ascii="宋体" w:hAnsi="宋体" w:cs="宋体"/>
                <w:color w:val="000000"/>
                <w:szCs w:val="21"/>
              </w:rPr>
            </w:pPr>
            <w:r>
              <w:rPr>
                <w:rFonts w:hint="eastAsia" w:ascii="宋体" w:hAnsi="宋体" w:cs="宋体"/>
                <w:color w:val="000000"/>
                <w:szCs w:val="21"/>
              </w:rPr>
              <w:t>培训</w:t>
            </w:r>
          </w:p>
        </w:tc>
        <w:tc>
          <w:tcPr>
            <w:tcW w:w="6547" w:type="dxa"/>
            <w:tcBorders>
              <w:top w:val="nil"/>
              <w:left w:val="nil"/>
              <w:bottom w:val="single" w:color="auto" w:sz="4" w:space="0"/>
              <w:right w:val="single" w:color="auto" w:sz="4" w:space="0"/>
            </w:tcBorders>
            <w:vAlign w:val="center"/>
          </w:tcPr>
          <w:p>
            <w:pPr>
              <w:suppressAutoHyphens/>
              <w:jc w:val="left"/>
              <w:rPr>
                <w:rFonts w:ascii="宋体" w:hAnsi="宋体" w:cs="宋体"/>
                <w:color w:val="000000"/>
                <w:szCs w:val="21"/>
              </w:rPr>
            </w:pPr>
            <w:r>
              <w:rPr>
                <w:rFonts w:hint="eastAsia" w:ascii="宋体" w:hAnsi="宋体" w:cs="宋体"/>
                <w:color w:val="000000"/>
                <w:szCs w:val="21"/>
              </w:rPr>
              <w:t>中标方应提供业务和技术师资培训服务，负责培训讲师、教材及培训环境的准备</w:t>
            </w:r>
          </w:p>
        </w:tc>
        <w:tc>
          <w:tcPr>
            <w:tcW w:w="0" w:type="auto"/>
            <w:tcBorders>
              <w:top w:val="nil"/>
              <w:left w:val="nil"/>
              <w:bottom w:val="single" w:color="auto" w:sz="4" w:space="0"/>
              <w:right w:val="single" w:color="auto" w:sz="4" w:space="0"/>
            </w:tcBorders>
            <w:vAlign w:val="center"/>
          </w:tcPr>
          <w:p>
            <w:pPr>
              <w:suppressAutoHyphens/>
              <w:jc w:val="center"/>
              <w:rPr>
                <w:rFonts w:ascii="宋体" w:hAnsi="宋体"/>
                <w:color w:val="000000"/>
                <w:szCs w:val="21"/>
              </w:rPr>
            </w:pPr>
            <w:r>
              <w:rPr>
                <w:rFonts w:ascii="宋体" w:hAnsi="宋体"/>
                <w:color w:val="000000"/>
                <w:szCs w:val="21"/>
              </w:rPr>
              <w:t>1</w:t>
            </w:r>
          </w:p>
        </w:tc>
        <w:tc>
          <w:tcPr>
            <w:tcW w:w="0" w:type="auto"/>
            <w:tcBorders>
              <w:top w:val="nil"/>
              <w:left w:val="nil"/>
              <w:bottom w:val="single" w:color="auto" w:sz="4" w:space="0"/>
              <w:right w:val="single" w:color="auto" w:sz="4" w:space="0"/>
            </w:tcBorders>
            <w:vAlign w:val="center"/>
          </w:tcPr>
          <w:p>
            <w:pPr>
              <w:suppressAutoHyphens/>
              <w:jc w:val="center"/>
              <w:rPr>
                <w:rFonts w:ascii="宋体" w:hAnsi="宋体" w:cs="宋体"/>
                <w:color w:val="000000"/>
                <w:szCs w:val="21"/>
              </w:rPr>
            </w:pPr>
            <w:r>
              <w:rPr>
                <w:rFonts w:hint="eastAsia" w:ascii="宋体" w:hAnsi="宋体" w:cs="宋体"/>
                <w:color w:val="000000"/>
                <w:szCs w:val="21"/>
              </w:rPr>
              <w:t>项</w:t>
            </w:r>
          </w:p>
        </w:tc>
      </w:tr>
      <w:tr>
        <w:tblPrEx>
          <w:tblCellMar>
            <w:top w:w="0" w:type="dxa"/>
            <w:left w:w="108" w:type="dxa"/>
            <w:bottom w:w="0" w:type="dxa"/>
            <w:right w:w="108" w:type="dxa"/>
          </w:tblCellMar>
        </w:tblPrEx>
        <w:trPr>
          <w:trHeight w:val="458" w:hRule="atLeast"/>
        </w:trPr>
        <w:tc>
          <w:tcPr>
            <w:tcW w:w="0" w:type="auto"/>
            <w:tcBorders>
              <w:top w:val="nil"/>
              <w:left w:val="single" w:color="auto" w:sz="4" w:space="0"/>
              <w:bottom w:val="single" w:color="auto" w:sz="4" w:space="0"/>
              <w:right w:val="single" w:color="auto" w:sz="4" w:space="0"/>
            </w:tcBorders>
            <w:vAlign w:val="center"/>
          </w:tcPr>
          <w:p>
            <w:pPr>
              <w:suppressAutoHyphens/>
              <w:jc w:val="center"/>
              <w:rPr>
                <w:rFonts w:ascii="宋体" w:hAnsi="宋体"/>
                <w:color w:val="000000"/>
                <w:szCs w:val="21"/>
              </w:rPr>
            </w:pPr>
            <w:r>
              <w:rPr>
                <w:rFonts w:ascii="宋体" w:hAnsi="宋体"/>
                <w:color w:val="000000"/>
                <w:szCs w:val="21"/>
              </w:rPr>
              <w:t>6</w:t>
            </w:r>
          </w:p>
        </w:tc>
        <w:tc>
          <w:tcPr>
            <w:tcW w:w="1032" w:type="dxa"/>
            <w:tcBorders>
              <w:top w:val="nil"/>
              <w:left w:val="nil"/>
              <w:bottom w:val="single" w:color="auto" w:sz="4" w:space="0"/>
              <w:right w:val="single" w:color="auto" w:sz="4" w:space="0"/>
            </w:tcBorders>
            <w:noWrap/>
            <w:vAlign w:val="center"/>
          </w:tcPr>
          <w:p>
            <w:pPr>
              <w:suppressAutoHyphens/>
              <w:jc w:val="center"/>
              <w:rPr>
                <w:rFonts w:ascii="宋体" w:hAnsi="宋体" w:cs="宋体"/>
                <w:color w:val="000000"/>
                <w:szCs w:val="21"/>
              </w:rPr>
            </w:pPr>
            <w:r>
              <w:rPr>
                <w:rFonts w:hint="eastAsia" w:ascii="宋体" w:hAnsi="宋体" w:cs="宋体"/>
                <w:color w:val="000000"/>
                <w:szCs w:val="21"/>
              </w:rPr>
              <w:t>系统测试工作</w:t>
            </w:r>
          </w:p>
        </w:tc>
        <w:tc>
          <w:tcPr>
            <w:tcW w:w="6547" w:type="dxa"/>
            <w:tcBorders>
              <w:top w:val="nil"/>
              <w:left w:val="nil"/>
              <w:bottom w:val="single" w:color="auto" w:sz="4" w:space="0"/>
              <w:right w:val="single" w:color="auto" w:sz="4" w:space="0"/>
            </w:tcBorders>
            <w:vAlign w:val="center"/>
          </w:tcPr>
          <w:p>
            <w:pPr>
              <w:suppressAutoHyphens/>
              <w:jc w:val="left"/>
              <w:rPr>
                <w:rFonts w:ascii="宋体" w:hAnsi="宋体" w:cs="宋体"/>
                <w:color w:val="000000"/>
                <w:szCs w:val="21"/>
              </w:rPr>
            </w:pPr>
            <w:r>
              <w:rPr>
                <w:rFonts w:hint="eastAsia" w:ascii="宋体" w:hAnsi="宋体" w:cs="宋体"/>
                <w:color w:val="000000"/>
                <w:szCs w:val="21"/>
              </w:rPr>
              <w:t>金税三期社保费（标准版）系统测试包括全流程业务测试、系统压力测试。</w:t>
            </w:r>
          </w:p>
        </w:tc>
        <w:tc>
          <w:tcPr>
            <w:tcW w:w="0" w:type="auto"/>
            <w:tcBorders>
              <w:top w:val="nil"/>
              <w:left w:val="nil"/>
              <w:bottom w:val="single" w:color="auto" w:sz="4" w:space="0"/>
              <w:right w:val="single" w:color="auto" w:sz="4" w:space="0"/>
            </w:tcBorders>
            <w:vAlign w:val="center"/>
          </w:tcPr>
          <w:p>
            <w:pPr>
              <w:suppressAutoHyphens/>
              <w:jc w:val="center"/>
              <w:rPr>
                <w:rFonts w:ascii="宋体" w:hAnsi="宋体"/>
                <w:color w:val="000000"/>
                <w:szCs w:val="21"/>
              </w:rPr>
            </w:pPr>
            <w:r>
              <w:rPr>
                <w:rFonts w:ascii="宋体" w:hAnsi="宋体"/>
                <w:color w:val="000000"/>
                <w:szCs w:val="21"/>
              </w:rPr>
              <w:t>1</w:t>
            </w:r>
          </w:p>
        </w:tc>
        <w:tc>
          <w:tcPr>
            <w:tcW w:w="0" w:type="auto"/>
            <w:tcBorders>
              <w:top w:val="nil"/>
              <w:left w:val="nil"/>
              <w:bottom w:val="single" w:color="auto" w:sz="4" w:space="0"/>
              <w:right w:val="single" w:color="auto" w:sz="4" w:space="0"/>
            </w:tcBorders>
            <w:vAlign w:val="center"/>
          </w:tcPr>
          <w:p>
            <w:pPr>
              <w:suppressAutoHyphens/>
              <w:jc w:val="center"/>
              <w:rPr>
                <w:rFonts w:ascii="宋体" w:hAnsi="宋体" w:cs="宋体"/>
                <w:color w:val="000000"/>
                <w:szCs w:val="21"/>
              </w:rPr>
            </w:pPr>
            <w:r>
              <w:rPr>
                <w:rFonts w:hint="eastAsia" w:ascii="宋体" w:hAnsi="宋体" w:cs="宋体"/>
                <w:color w:val="000000"/>
                <w:szCs w:val="21"/>
              </w:rPr>
              <w:t>项</w:t>
            </w:r>
          </w:p>
        </w:tc>
      </w:tr>
      <w:tr>
        <w:tblPrEx>
          <w:tblCellMar>
            <w:top w:w="0" w:type="dxa"/>
            <w:left w:w="108" w:type="dxa"/>
            <w:bottom w:w="0" w:type="dxa"/>
            <w:right w:w="108" w:type="dxa"/>
          </w:tblCellMar>
        </w:tblPrEx>
        <w:trPr>
          <w:trHeight w:val="742" w:hRule="atLeast"/>
        </w:trPr>
        <w:tc>
          <w:tcPr>
            <w:tcW w:w="0" w:type="auto"/>
            <w:tcBorders>
              <w:top w:val="nil"/>
              <w:left w:val="single" w:color="auto" w:sz="4" w:space="0"/>
              <w:bottom w:val="single" w:color="auto" w:sz="4" w:space="0"/>
              <w:right w:val="single" w:color="auto" w:sz="4" w:space="0"/>
            </w:tcBorders>
            <w:vAlign w:val="center"/>
          </w:tcPr>
          <w:p>
            <w:pPr>
              <w:suppressAutoHyphens/>
              <w:jc w:val="center"/>
              <w:rPr>
                <w:rFonts w:ascii="宋体" w:hAnsi="宋体"/>
                <w:color w:val="000000"/>
                <w:szCs w:val="21"/>
              </w:rPr>
            </w:pPr>
            <w:r>
              <w:rPr>
                <w:rFonts w:ascii="宋体" w:hAnsi="宋体"/>
                <w:color w:val="000000"/>
                <w:szCs w:val="21"/>
              </w:rPr>
              <w:t>7</w:t>
            </w:r>
          </w:p>
        </w:tc>
        <w:tc>
          <w:tcPr>
            <w:tcW w:w="1032" w:type="dxa"/>
            <w:tcBorders>
              <w:top w:val="nil"/>
              <w:left w:val="nil"/>
              <w:bottom w:val="single" w:color="auto" w:sz="4" w:space="0"/>
              <w:right w:val="single" w:color="auto" w:sz="4" w:space="0"/>
            </w:tcBorders>
            <w:noWrap/>
            <w:vAlign w:val="center"/>
          </w:tcPr>
          <w:p>
            <w:pPr>
              <w:suppressAutoHyphens/>
              <w:jc w:val="center"/>
              <w:rPr>
                <w:rFonts w:ascii="宋体" w:hAnsi="宋体" w:cs="宋体"/>
                <w:color w:val="000000"/>
                <w:szCs w:val="21"/>
              </w:rPr>
            </w:pPr>
            <w:r>
              <w:rPr>
                <w:rFonts w:hint="eastAsia" w:ascii="宋体" w:hAnsi="宋体" w:cs="宋体"/>
                <w:color w:val="000000"/>
                <w:szCs w:val="21"/>
              </w:rPr>
              <w:t>系统上线切换</w:t>
            </w:r>
          </w:p>
        </w:tc>
        <w:tc>
          <w:tcPr>
            <w:tcW w:w="6547" w:type="dxa"/>
            <w:tcBorders>
              <w:top w:val="nil"/>
              <w:left w:val="nil"/>
              <w:bottom w:val="single" w:color="auto" w:sz="4" w:space="0"/>
              <w:right w:val="single" w:color="auto" w:sz="4" w:space="0"/>
            </w:tcBorders>
            <w:vAlign w:val="center"/>
          </w:tcPr>
          <w:p>
            <w:pPr>
              <w:suppressAutoHyphens/>
              <w:jc w:val="left"/>
              <w:rPr>
                <w:rFonts w:ascii="宋体" w:hAnsi="宋体" w:cs="宋体"/>
                <w:color w:val="000000"/>
                <w:szCs w:val="21"/>
              </w:rPr>
            </w:pPr>
            <w:r>
              <w:rPr>
                <w:rFonts w:hint="eastAsia" w:ascii="宋体" w:hAnsi="宋体" w:cs="宋体"/>
                <w:color w:val="000000"/>
                <w:szCs w:val="21"/>
              </w:rPr>
              <w:t>制定上线工作方案、应急预案、完成系统切换、提供业务试办跟踪服务等工作</w:t>
            </w:r>
          </w:p>
        </w:tc>
        <w:tc>
          <w:tcPr>
            <w:tcW w:w="0" w:type="auto"/>
            <w:tcBorders>
              <w:top w:val="nil"/>
              <w:left w:val="nil"/>
              <w:bottom w:val="single" w:color="auto" w:sz="4" w:space="0"/>
              <w:right w:val="single" w:color="auto" w:sz="4" w:space="0"/>
            </w:tcBorders>
            <w:vAlign w:val="center"/>
          </w:tcPr>
          <w:p>
            <w:pPr>
              <w:suppressAutoHyphens/>
              <w:jc w:val="center"/>
              <w:rPr>
                <w:rFonts w:ascii="宋体" w:hAnsi="宋体"/>
                <w:color w:val="000000"/>
                <w:szCs w:val="21"/>
              </w:rPr>
            </w:pPr>
            <w:r>
              <w:rPr>
                <w:rFonts w:ascii="宋体" w:hAnsi="宋体"/>
                <w:color w:val="000000"/>
                <w:szCs w:val="21"/>
              </w:rPr>
              <w:t>1</w:t>
            </w:r>
          </w:p>
        </w:tc>
        <w:tc>
          <w:tcPr>
            <w:tcW w:w="0" w:type="auto"/>
            <w:tcBorders>
              <w:top w:val="nil"/>
              <w:left w:val="nil"/>
              <w:bottom w:val="single" w:color="auto" w:sz="4" w:space="0"/>
              <w:right w:val="single" w:color="auto" w:sz="4" w:space="0"/>
            </w:tcBorders>
            <w:vAlign w:val="center"/>
          </w:tcPr>
          <w:p>
            <w:pPr>
              <w:suppressAutoHyphens/>
              <w:jc w:val="center"/>
              <w:rPr>
                <w:rFonts w:ascii="宋体" w:hAnsi="宋体" w:cs="宋体"/>
                <w:color w:val="000000"/>
                <w:szCs w:val="21"/>
              </w:rPr>
            </w:pPr>
            <w:r>
              <w:rPr>
                <w:rFonts w:hint="eastAsia" w:ascii="宋体" w:hAnsi="宋体" w:cs="宋体"/>
                <w:color w:val="000000"/>
                <w:szCs w:val="21"/>
              </w:rPr>
              <w:t>项</w:t>
            </w:r>
          </w:p>
        </w:tc>
      </w:tr>
    </w:tbl>
    <w:p>
      <w:pPr>
        <w:keepNext/>
        <w:keepLines/>
        <w:spacing w:line="360" w:lineRule="auto"/>
        <w:outlineLvl w:val="2"/>
        <w:rPr>
          <w:rFonts w:ascii="宋体" w:hAnsi="宋体" w:cs="黑体"/>
          <w:b/>
          <w:sz w:val="24"/>
        </w:rPr>
      </w:pPr>
      <w:r>
        <w:rPr>
          <w:rFonts w:hint="eastAsia" w:ascii="宋体" w:hAnsi="宋体" w:cs="黑体"/>
          <w:b/>
          <w:sz w:val="24"/>
        </w:rPr>
        <w:t>2．投标/响应要求</w:t>
      </w:r>
    </w:p>
    <w:p>
      <w:pPr>
        <w:keepNext/>
        <w:keepLines/>
        <w:spacing w:line="360" w:lineRule="auto"/>
        <w:outlineLvl w:val="2"/>
        <w:rPr>
          <w:rFonts w:ascii="宋体" w:hAnsi="宋体" w:cs="黑体"/>
          <w:b/>
          <w:sz w:val="24"/>
        </w:rPr>
      </w:pPr>
      <w:r>
        <w:rPr>
          <w:rFonts w:ascii="宋体" w:hAnsi="宋体" w:cs="黑体"/>
          <w:b/>
          <w:sz w:val="24"/>
        </w:rPr>
        <w:t>2.1</w:t>
      </w:r>
      <w:r>
        <w:rPr>
          <w:rFonts w:hint="eastAsia" w:ascii="宋体" w:hAnsi="宋体" w:cs="黑体"/>
          <w:b/>
          <w:sz w:val="24"/>
        </w:rPr>
        <w:t>供应商资质要求</w:t>
      </w:r>
    </w:p>
    <w:p>
      <w:pPr>
        <w:suppressAutoHyphens/>
        <w:spacing w:line="360" w:lineRule="auto"/>
        <w:ind w:firstLine="480" w:firstLineChars="200"/>
        <w:rPr>
          <w:rFonts w:ascii="宋体" w:hAnsi="宋体" w:cs="仿宋_GB2312"/>
          <w:sz w:val="24"/>
        </w:rPr>
      </w:pPr>
      <w:r>
        <w:rPr>
          <w:rFonts w:hint="eastAsia" w:ascii="宋体" w:hAnsi="宋体" w:cs="仿宋_GB2312"/>
          <w:sz w:val="24"/>
        </w:rPr>
        <w:t>1.符合《中华人民共和国政府采购法》第二十二条规定；</w:t>
      </w:r>
    </w:p>
    <w:p>
      <w:pPr>
        <w:suppressAutoHyphens/>
        <w:spacing w:line="360" w:lineRule="auto"/>
        <w:ind w:firstLine="480" w:firstLineChars="200"/>
        <w:rPr>
          <w:rFonts w:ascii="宋体" w:hAnsi="宋体" w:cs="仿宋_GB2312"/>
          <w:sz w:val="24"/>
        </w:rPr>
      </w:pPr>
      <w:r>
        <w:rPr>
          <w:rFonts w:hint="eastAsia" w:ascii="宋体" w:hAnsi="宋体" w:cs="仿宋_GB2312"/>
          <w:sz w:val="24"/>
        </w:rPr>
        <w:t>2.供应商未列入失信被执行人、重大税收违法案件当事人名单、政府采购严重违法失信行为记录名单；</w:t>
      </w:r>
    </w:p>
    <w:p>
      <w:pPr>
        <w:suppressAutoHyphens/>
        <w:spacing w:line="360" w:lineRule="auto"/>
        <w:ind w:firstLine="480" w:firstLineChars="200"/>
        <w:rPr>
          <w:rFonts w:ascii="宋体" w:hAnsi="宋体" w:cs="仿宋_GB2312"/>
          <w:sz w:val="24"/>
        </w:rPr>
      </w:pPr>
      <w:r>
        <w:rPr>
          <w:rFonts w:hint="eastAsia" w:ascii="宋体" w:hAnsi="宋体" w:cs="仿宋_GB2312"/>
          <w:sz w:val="24"/>
        </w:rPr>
        <w:t>3.本项目不允许转包；</w:t>
      </w:r>
    </w:p>
    <w:p>
      <w:pPr>
        <w:suppressAutoHyphens/>
        <w:spacing w:line="360" w:lineRule="auto"/>
        <w:ind w:firstLine="480" w:firstLineChars="200"/>
        <w:rPr>
          <w:rFonts w:ascii="宋体" w:hAnsi="宋体" w:cs="仿宋_GB2312"/>
          <w:sz w:val="24"/>
        </w:rPr>
      </w:pPr>
      <w:r>
        <w:rPr>
          <w:rFonts w:hint="eastAsia" w:ascii="宋体" w:hAnsi="宋体" w:cs="仿宋_GB2312"/>
          <w:sz w:val="24"/>
        </w:rPr>
        <w:t>4.本项目不接受联合体投标。</w:t>
      </w:r>
    </w:p>
    <w:p>
      <w:pPr>
        <w:keepNext/>
        <w:keepLines/>
        <w:spacing w:line="360" w:lineRule="auto"/>
        <w:outlineLvl w:val="2"/>
        <w:rPr>
          <w:rFonts w:ascii="宋体" w:hAnsi="宋体" w:cs="黑体"/>
          <w:b/>
          <w:sz w:val="24"/>
        </w:rPr>
      </w:pPr>
      <w:r>
        <w:rPr>
          <w:rFonts w:hint="eastAsia" w:ascii="宋体" w:hAnsi="宋体" w:cs="黑体"/>
          <w:b/>
          <w:sz w:val="24"/>
        </w:rPr>
        <w:t>2</w:t>
      </w:r>
      <w:r>
        <w:rPr>
          <w:rFonts w:ascii="宋体" w:hAnsi="宋体" w:cs="黑体"/>
          <w:b/>
          <w:sz w:val="24"/>
        </w:rPr>
        <w:t>.2</w:t>
      </w:r>
      <w:r>
        <w:rPr>
          <w:rFonts w:hint="eastAsia" w:ascii="宋体" w:hAnsi="宋体" w:cs="黑体"/>
          <w:b/>
          <w:sz w:val="24"/>
        </w:rPr>
        <w:t>投标/响应文件技术部分的响应内容要求</w:t>
      </w:r>
    </w:p>
    <w:p>
      <w:pPr>
        <w:suppressAutoHyphens/>
        <w:spacing w:line="360" w:lineRule="auto"/>
        <w:ind w:firstLine="480" w:firstLineChars="200"/>
        <w:rPr>
          <w:rFonts w:ascii="宋体" w:hAnsi="宋体" w:cs="仿宋_GB2312"/>
          <w:color w:val="auto"/>
          <w:sz w:val="24"/>
        </w:rPr>
      </w:pPr>
      <w:r>
        <w:rPr>
          <w:rFonts w:hint="eastAsia" w:ascii="宋体" w:hAnsi="宋体" w:cs="仿宋_GB2312"/>
          <w:color w:val="auto"/>
          <w:sz w:val="24"/>
        </w:rPr>
        <w:t>项目设计方案：根据方案能否完整响应项目需求，总体、业务架构、应用架构、数据架构、安全架构、技术架构等设计是否先进合理，涉及系统关键设计等定义规范描述是否精准、成熟稳定，具有独创性、先进性，设计方案是否先进、合理，对各项业务功能、业务逻辑关系的理解分析是否深入详细，功能划分是否准确。</w:t>
      </w:r>
    </w:p>
    <w:p>
      <w:pPr>
        <w:suppressAutoHyphens/>
        <w:spacing w:line="360" w:lineRule="auto"/>
        <w:ind w:firstLine="480" w:firstLineChars="200"/>
        <w:rPr>
          <w:rFonts w:ascii="宋体" w:hAnsi="宋体" w:cs="仿宋_GB2312"/>
          <w:color w:val="FF0000"/>
          <w:sz w:val="24"/>
        </w:rPr>
      </w:pPr>
      <w:r>
        <w:rPr>
          <w:rFonts w:hint="eastAsia" w:ascii="宋体" w:hAnsi="宋体" w:cs="仿宋_GB2312"/>
          <w:color w:val="auto"/>
          <w:sz w:val="24"/>
        </w:rPr>
        <w:t>项目管理方案：项目管理方案要合理、严谨、职责清晰、可操作性强、风险可控性强。</w:t>
      </w:r>
    </w:p>
    <w:p>
      <w:pPr>
        <w:keepNext/>
        <w:keepLines/>
        <w:spacing w:line="360" w:lineRule="auto"/>
        <w:outlineLvl w:val="2"/>
        <w:rPr>
          <w:rFonts w:ascii="宋体" w:hAnsi="宋体" w:cs="黑体"/>
          <w:b/>
          <w:sz w:val="24"/>
        </w:rPr>
      </w:pPr>
      <w:r>
        <w:rPr>
          <w:rFonts w:hint="eastAsia" w:ascii="宋体" w:hAnsi="宋体" w:cs="黑体"/>
          <w:b/>
          <w:sz w:val="24"/>
        </w:rPr>
        <w:t>3．项目需求</w:t>
      </w:r>
    </w:p>
    <w:p>
      <w:pPr>
        <w:keepNext/>
        <w:keepLines/>
        <w:spacing w:line="360" w:lineRule="auto"/>
        <w:outlineLvl w:val="2"/>
        <w:rPr>
          <w:rFonts w:ascii="宋体" w:hAnsi="宋体" w:cs="黑体"/>
          <w:b/>
          <w:sz w:val="24"/>
        </w:rPr>
      </w:pPr>
      <w:r>
        <w:rPr>
          <w:rFonts w:ascii="宋体" w:hAnsi="宋体" w:cs="黑体"/>
          <w:b/>
          <w:sz w:val="24"/>
        </w:rPr>
        <w:t>3.1</w:t>
      </w:r>
      <w:r>
        <w:rPr>
          <w:rFonts w:hint="eastAsia" w:ascii="宋体" w:hAnsi="宋体" w:cs="黑体"/>
          <w:b/>
          <w:sz w:val="24"/>
        </w:rPr>
        <w:t>服务具体内容</w:t>
      </w:r>
    </w:p>
    <w:p>
      <w:pPr>
        <w:keepNext/>
        <w:keepLines/>
        <w:spacing w:line="360" w:lineRule="auto"/>
        <w:outlineLvl w:val="2"/>
        <w:rPr>
          <w:rFonts w:ascii="宋体" w:hAnsi="宋体" w:cs="黑体"/>
          <w:b/>
          <w:sz w:val="24"/>
        </w:rPr>
      </w:pPr>
      <w:r>
        <w:rPr>
          <w:rFonts w:hint="eastAsia" w:ascii="宋体" w:hAnsi="宋体" w:cs="黑体"/>
          <w:b/>
          <w:sz w:val="24"/>
        </w:rPr>
        <w:t>3</w:t>
      </w:r>
      <w:r>
        <w:rPr>
          <w:rFonts w:ascii="宋体" w:hAnsi="宋体" w:cs="黑体"/>
          <w:b/>
          <w:sz w:val="24"/>
        </w:rPr>
        <w:t>.1.1</w:t>
      </w:r>
      <w:r>
        <w:rPr>
          <w:rFonts w:hint="eastAsia" w:ascii="宋体" w:hAnsi="宋体" w:cs="黑体"/>
          <w:b/>
          <w:sz w:val="24"/>
        </w:rPr>
        <w:t>业务需求</w:t>
      </w:r>
    </w:p>
    <w:p>
      <w:pPr>
        <w:suppressAutoHyphens/>
        <w:spacing w:line="360" w:lineRule="auto"/>
        <w:ind w:firstLine="480" w:firstLineChars="200"/>
        <w:rPr>
          <w:rFonts w:ascii="宋体" w:hAnsi="宋体" w:cs="仿宋_GB2312"/>
          <w:sz w:val="24"/>
        </w:rPr>
      </w:pPr>
      <w:bookmarkStart w:id="0" w:name="（二）系统需求。"/>
      <w:bookmarkEnd w:id="0"/>
      <w:r>
        <w:rPr>
          <w:rFonts w:hint="eastAsia" w:ascii="宋体" w:hAnsi="宋体" w:cs="仿宋_GB2312"/>
          <w:sz w:val="24"/>
        </w:rPr>
        <w:t>1．上线总集成管控服务内容</w:t>
      </w:r>
    </w:p>
    <w:p>
      <w:pPr>
        <w:suppressAutoHyphens/>
        <w:spacing w:line="360" w:lineRule="auto"/>
        <w:ind w:firstLine="480" w:firstLineChars="200"/>
        <w:rPr>
          <w:rFonts w:ascii="宋体" w:hAnsi="宋体" w:cs="仿宋_GB2312"/>
          <w:sz w:val="24"/>
        </w:rPr>
      </w:pPr>
      <w:r>
        <w:rPr>
          <w:rFonts w:hint="eastAsia" w:ascii="宋体" w:hAnsi="宋体" w:cs="仿宋_GB2312"/>
          <w:sz w:val="24"/>
        </w:rPr>
        <w:t>由于金三社保费征管信息系统业务复杂度高，涉及管理子系统、征收子系统、财税库银、税银子系统、信息共享平台（税务端）、信息共享平台（人社端）等系统，参与厂商众多、关联关系庞杂。</w:t>
      </w:r>
      <w:r>
        <w:rPr>
          <w:rFonts w:hint="eastAsia" w:ascii="宋体" w:hAnsi="宋体" w:cs="仿宋_GB2312"/>
          <w:sz w:val="24"/>
          <w:lang w:eastAsia="zh-CN"/>
        </w:rPr>
        <w:t>涉及</w:t>
      </w:r>
      <w:r>
        <w:rPr>
          <w:rFonts w:hint="eastAsia" w:ascii="宋体" w:hAnsi="宋体" w:cs="仿宋_GB2312"/>
          <w:sz w:val="24"/>
        </w:rPr>
        <w:t>各方面的统筹协调工作，为保证上线工作井然有序、有条不紊的进行，顺利完成系统上线切换，需要提供上线总集成管控服务，协助省局做好上线管控，包括协助省局制上线实施方案，协调和管理各方完成计划内工作，提交满足要求的工作成果，同时对于上线实施过程中出现的问题进行分析并提供解决方案，供省局决策、应用软件厂商解决问题使用。</w:t>
      </w:r>
    </w:p>
    <w:p>
      <w:pPr>
        <w:suppressAutoHyphens/>
        <w:spacing w:line="360" w:lineRule="auto"/>
        <w:ind w:firstLine="480" w:firstLineChars="200"/>
        <w:rPr>
          <w:rFonts w:ascii="宋体" w:hAnsi="宋体" w:cs="仿宋_GB2312"/>
          <w:sz w:val="24"/>
        </w:rPr>
      </w:pPr>
      <w:r>
        <w:rPr>
          <w:rFonts w:hint="eastAsia" w:ascii="宋体" w:hAnsi="宋体" w:cs="仿宋_GB2312"/>
          <w:sz w:val="24"/>
        </w:rPr>
        <w:t>2．管理子系统实施部署</w:t>
      </w:r>
    </w:p>
    <w:p>
      <w:pPr>
        <w:suppressAutoHyphens/>
        <w:spacing w:line="360" w:lineRule="auto"/>
        <w:ind w:firstLine="480" w:firstLineChars="200"/>
        <w:rPr>
          <w:rFonts w:ascii="宋体" w:hAnsi="宋体" w:cs="仿宋_GB2312"/>
          <w:sz w:val="24"/>
        </w:rPr>
      </w:pPr>
      <w:r>
        <w:rPr>
          <w:rFonts w:hint="eastAsia" w:ascii="宋体" w:hAnsi="宋体" w:cs="仿宋_GB2312"/>
          <w:sz w:val="24"/>
        </w:rPr>
        <w:t>根据上线单位基础软硬件资源，完成预生产、生产环境的实施部署，应用系统部署、数据库初始化、OGG链路部署、系统调优、系统接口联调等工作。</w:t>
      </w:r>
    </w:p>
    <w:p>
      <w:pPr>
        <w:suppressAutoHyphens/>
        <w:spacing w:line="360" w:lineRule="auto"/>
        <w:ind w:firstLine="480" w:firstLineChars="200"/>
        <w:rPr>
          <w:rFonts w:ascii="宋体" w:hAnsi="宋体" w:cs="仿宋_GB2312"/>
          <w:sz w:val="24"/>
        </w:rPr>
      </w:pPr>
      <w:r>
        <w:rPr>
          <w:rFonts w:hint="eastAsia" w:ascii="宋体" w:hAnsi="宋体" w:cs="仿宋_GB2312"/>
          <w:sz w:val="24"/>
        </w:rPr>
        <w:t>3</w:t>
      </w:r>
      <w:r>
        <w:rPr>
          <w:rFonts w:ascii="宋体" w:hAnsi="宋体" w:cs="仿宋_GB2312"/>
          <w:sz w:val="24"/>
        </w:rPr>
        <w:t>.</w:t>
      </w:r>
      <w:r>
        <w:rPr>
          <w:rFonts w:hint="eastAsia" w:ascii="宋体" w:hAnsi="宋体" w:cs="仿宋_GB2312"/>
          <w:sz w:val="24"/>
        </w:rPr>
        <w:t>系统初始化</w:t>
      </w:r>
    </w:p>
    <w:p>
      <w:pPr>
        <w:suppressAutoHyphens/>
        <w:spacing w:line="360" w:lineRule="auto"/>
        <w:ind w:firstLine="480" w:firstLineChars="200"/>
        <w:rPr>
          <w:rFonts w:ascii="宋体" w:hAnsi="宋体" w:cs="仿宋_GB2312"/>
          <w:sz w:val="24"/>
        </w:rPr>
      </w:pPr>
      <w:r>
        <w:rPr>
          <w:rFonts w:hint="eastAsia" w:ascii="宋体" w:hAnsi="宋体" w:cs="仿宋_GB2312"/>
          <w:sz w:val="24"/>
        </w:rPr>
        <w:t>在社保费业务管理流程中，同一业务功能在不同的地区、针对不同人群可能会有不同的业务要求，系统需要灵活配置来满足各地的差异化，在信息化系统中一般采用参数配置方式来实现。系统初始化是系统首次使用时，根据上线单位的实际情况采集配置参数，导入到系统的过程。系统初始化工作是系统运行的必要前提，需要结合本地的实际情况进行采集。</w:t>
      </w:r>
    </w:p>
    <w:p>
      <w:pPr>
        <w:suppressAutoHyphens/>
        <w:spacing w:line="360" w:lineRule="auto"/>
        <w:ind w:firstLine="480" w:firstLineChars="200"/>
        <w:rPr>
          <w:rFonts w:ascii="宋体" w:hAnsi="宋体" w:cs="仿宋_GB2312"/>
          <w:sz w:val="24"/>
        </w:rPr>
      </w:pPr>
      <w:r>
        <w:rPr>
          <w:rFonts w:ascii="宋体" w:hAnsi="宋体" w:cs="仿宋_GB2312"/>
          <w:sz w:val="24"/>
        </w:rPr>
        <w:t>4</w:t>
      </w:r>
      <w:r>
        <w:rPr>
          <w:rFonts w:hint="eastAsia" w:ascii="宋体" w:hAnsi="宋体" w:cs="仿宋_GB2312"/>
          <w:sz w:val="24"/>
        </w:rPr>
        <w:t>．数据迁移</w:t>
      </w:r>
    </w:p>
    <w:p>
      <w:pPr>
        <w:suppressAutoHyphens/>
        <w:spacing w:line="360" w:lineRule="auto"/>
        <w:ind w:firstLine="480" w:firstLineChars="200"/>
        <w:rPr>
          <w:rFonts w:ascii="宋体" w:hAnsi="宋体" w:cs="仿宋_GB2312"/>
          <w:sz w:val="24"/>
        </w:rPr>
      </w:pPr>
      <w:r>
        <w:rPr>
          <w:rFonts w:hint="eastAsia" w:ascii="宋体" w:hAnsi="宋体" w:cs="仿宋_GB2312"/>
          <w:sz w:val="24"/>
        </w:rPr>
        <w:t>社保费系统的存量数据迁移是在上线单位上线运行前，将各上线单位协调人社部门按照统一的数据规范提供的原社保数据导入到交接中间库，并根据金三社保子系统的规范进行数据的清洗、加工和转换,最终将加工后的数据从交接中间库交接到金税三期社保费管理子系统。</w:t>
      </w:r>
    </w:p>
    <w:p>
      <w:pPr>
        <w:suppressAutoHyphens/>
        <w:spacing w:line="360" w:lineRule="auto"/>
        <w:ind w:firstLine="480" w:firstLineChars="200"/>
        <w:rPr>
          <w:rFonts w:ascii="宋体" w:hAnsi="宋体" w:cs="仿宋_GB2312"/>
          <w:sz w:val="24"/>
        </w:rPr>
      </w:pPr>
      <w:r>
        <w:rPr>
          <w:rFonts w:ascii="宋体" w:hAnsi="宋体" w:cs="仿宋_GB2312"/>
          <w:sz w:val="24"/>
        </w:rPr>
        <w:t>5</w:t>
      </w:r>
      <w:r>
        <w:rPr>
          <w:rFonts w:hint="eastAsia" w:ascii="宋体" w:hAnsi="宋体" w:cs="仿宋_GB2312"/>
          <w:sz w:val="24"/>
        </w:rPr>
        <w:t>．系统测试服务</w:t>
      </w:r>
    </w:p>
    <w:p>
      <w:pPr>
        <w:suppressAutoHyphens/>
        <w:spacing w:line="360" w:lineRule="auto"/>
        <w:ind w:firstLine="480" w:firstLineChars="200"/>
        <w:rPr>
          <w:rFonts w:ascii="宋体" w:hAnsi="宋体" w:cs="仿宋_GB2312"/>
          <w:sz w:val="24"/>
        </w:rPr>
      </w:pPr>
      <w:r>
        <w:rPr>
          <w:rFonts w:hint="eastAsia" w:ascii="宋体" w:hAnsi="宋体" w:cs="仿宋_GB2312"/>
          <w:sz w:val="24"/>
        </w:rPr>
        <w:t>(1)全流程功能测试</w:t>
      </w:r>
    </w:p>
    <w:p>
      <w:pPr>
        <w:suppressAutoHyphens/>
        <w:spacing w:line="360" w:lineRule="auto"/>
        <w:ind w:firstLine="480" w:firstLineChars="200"/>
        <w:rPr>
          <w:rFonts w:ascii="宋体" w:hAnsi="宋体" w:cs="仿宋_GB2312"/>
          <w:sz w:val="24"/>
        </w:rPr>
      </w:pPr>
      <w:r>
        <w:rPr>
          <w:rFonts w:hint="eastAsia" w:ascii="宋体" w:hAnsi="宋体" w:cs="仿宋_GB2312"/>
          <w:sz w:val="24"/>
        </w:rPr>
        <w:t>会同人社部门、医保部门，针对信息共享平台（税务端+人社端+医保端）、金三社保费征收子系统、金三决策支持系统（一包）、税库银系统、税银子系统，开展全业务全流程联调测试工作。检验系统运行能力、软件功能、系统业务适应性、初始化和数据迁移质量等是否能够满足生产需要，促进系统功能的持续完善，使省局各级税务人员熟练掌握系统操作，确保全省局上线顺利运行。</w:t>
      </w:r>
    </w:p>
    <w:p>
      <w:pPr>
        <w:suppressAutoHyphens/>
        <w:spacing w:line="360" w:lineRule="auto"/>
        <w:ind w:firstLine="480" w:firstLineChars="200"/>
        <w:rPr>
          <w:rFonts w:ascii="宋体" w:hAnsi="宋体" w:cs="仿宋_GB2312"/>
          <w:sz w:val="24"/>
        </w:rPr>
      </w:pPr>
      <w:r>
        <w:rPr>
          <w:rFonts w:hint="eastAsia" w:ascii="宋体" w:hAnsi="宋体" w:cs="仿宋_GB2312"/>
          <w:sz w:val="24"/>
        </w:rPr>
        <w:t>(2)系统压力测试</w:t>
      </w:r>
    </w:p>
    <w:p>
      <w:pPr>
        <w:suppressAutoHyphens/>
        <w:spacing w:line="360" w:lineRule="auto"/>
        <w:ind w:firstLine="480" w:firstLineChars="200"/>
        <w:rPr>
          <w:rFonts w:ascii="宋体" w:hAnsi="宋体" w:cs="仿宋_GB2312"/>
          <w:sz w:val="24"/>
        </w:rPr>
      </w:pPr>
      <w:r>
        <w:rPr>
          <w:rFonts w:hint="eastAsia" w:ascii="宋体" w:hAnsi="宋体" w:cs="仿宋_GB2312"/>
          <w:sz w:val="24"/>
        </w:rPr>
        <w:t>在生产环境下，完成金税三期社保费管理子系统压力测试工作，检验金三社保费管理子系统的各项性能指标是否符合建设要求。</w:t>
      </w:r>
    </w:p>
    <w:p>
      <w:pPr>
        <w:suppressAutoHyphens/>
        <w:spacing w:line="360" w:lineRule="auto"/>
        <w:ind w:firstLine="480" w:firstLineChars="200"/>
        <w:rPr>
          <w:rFonts w:ascii="宋体" w:hAnsi="宋体" w:cs="仿宋_GB2312"/>
          <w:sz w:val="24"/>
        </w:rPr>
      </w:pPr>
      <w:r>
        <w:rPr>
          <w:rFonts w:ascii="宋体" w:hAnsi="宋体" w:cs="仿宋_GB2312"/>
          <w:sz w:val="24"/>
        </w:rPr>
        <w:t>6</w:t>
      </w:r>
      <w:r>
        <w:rPr>
          <w:rFonts w:hint="eastAsia" w:ascii="宋体" w:hAnsi="宋体" w:cs="仿宋_GB2312"/>
          <w:sz w:val="24"/>
        </w:rPr>
        <w:t>．培训辅导服务</w:t>
      </w:r>
    </w:p>
    <w:p>
      <w:pPr>
        <w:suppressAutoHyphens/>
        <w:spacing w:line="360" w:lineRule="auto"/>
        <w:ind w:firstLine="480" w:firstLineChars="200"/>
        <w:rPr>
          <w:rFonts w:ascii="宋体" w:hAnsi="宋体" w:cs="仿宋_GB2312"/>
          <w:sz w:val="24"/>
        </w:rPr>
      </w:pPr>
      <w:r>
        <w:rPr>
          <w:rFonts w:hint="eastAsia" w:ascii="宋体" w:hAnsi="宋体" w:cs="仿宋_GB2312"/>
          <w:sz w:val="24"/>
        </w:rPr>
        <w:t>中标人负责金税三期社保费系统（标准版）操作培训工作，包括制定培训方案、培训课件编写、培训、培训支持及解答工作。</w:t>
      </w:r>
    </w:p>
    <w:p>
      <w:pPr>
        <w:suppressAutoHyphens/>
        <w:spacing w:line="360" w:lineRule="auto"/>
        <w:ind w:firstLine="480" w:firstLineChars="200"/>
        <w:rPr>
          <w:rFonts w:ascii="宋体" w:hAnsi="宋体" w:cs="仿宋_GB2312"/>
          <w:sz w:val="24"/>
        </w:rPr>
      </w:pPr>
      <w:r>
        <w:rPr>
          <w:rFonts w:ascii="宋体" w:hAnsi="宋体" w:cs="仿宋_GB2312"/>
          <w:sz w:val="24"/>
        </w:rPr>
        <w:t>7</w:t>
      </w:r>
      <w:r>
        <w:rPr>
          <w:rFonts w:hint="eastAsia" w:ascii="宋体" w:hAnsi="宋体" w:cs="仿宋_GB2312"/>
          <w:sz w:val="24"/>
        </w:rPr>
        <w:t>．上线切换</w:t>
      </w:r>
    </w:p>
    <w:p>
      <w:pPr>
        <w:suppressAutoHyphens/>
        <w:spacing w:line="360" w:lineRule="auto"/>
        <w:ind w:firstLine="480" w:firstLineChars="200"/>
        <w:rPr>
          <w:rFonts w:ascii="宋体" w:hAnsi="宋体" w:cs="仿宋_GB2312"/>
          <w:sz w:val="24"/>
        </w:rPr>
      </w:pPr>
      <w:r>
        <w:rPr>
          <w:rFonts w:hint="eastAsia" w:ascii="宋体" w:hAnsi="宋体" w:cs="仿宋_GB2312"/>
          <w:sz w:val="24"/>
        </w:rPr>
        <w:t>中标人制定上线工作方案、应急预案、完成系统切换、提供业务试办跟踪服务等工作。</w:t>
      </w:r>
    </w:p>
    <w:p>
      <w:pPr>
        <w:keepNext/>
        <w:keepLines/>
        <w:spacing w:line="360" w:lineRule="auto"/>
        <w:outlineLvl w:val="2"/>
        <w:rPr>
          <w:rFonts w:ascii="宋体" w:hAnsi="宋体" w:cs="黑体"/>
          <w:b/>
          <w:sz w:val="24"/>
        </w:rPr>
      </w:pPr>
      <w:bookmarkStart w:id="1" w:name="（四）非功能性需求。"/>
      <w:bookmarkEnd w:id="1"/>
      <w:bookmarkStart w:id="2" w:name="四、建设方案"/>
      <w:bookmarkEnd w:id="2"/>
      <w:bookmarkStart w:id="3" w:name="4._运维管理需求。"/>
      <w:bookmarkEnd w:id="3"/>
      <w:r>
        <w:rPr>
          <w:rFonts w:hint="eastAsia" w:ascii="宋体" w:hAnsi="宋体" w:cs="黑体"/>
          <w:b/>
          <w:sz w:val="24"/>
        </w:rPr>
        <w:t>3</w:t>
      </w:r>
      <w:r>
        <w:rPr>
          <w:rFonts w:ascii="宋体" w:hAnsi="宋体" w:cs="黑体"/>
          <w:b/>
          <w:sz w:val="24"/>
        </w:rPr>
        <w:t>.1.2</w:t>
      </w:r>
      <w:r>
        <w:rPr>
          <w:rFonts w:hint="eastAsia" w:ascii="宋体" w:hAnsi="宋体" w:cs="黑体"/>
          <w:b/>
          <w:sz w:val="24"/>
        </w:rPr>
        <w:t>非功能性需求</w:t>
      </w:r>
    </w:p>
    <w:p>
      <w:pPr>
        <w:suppressAutoHyphens/>
        <w:spacing w:line="360" w:lineRule="auto"/>
        <w:ind w:firstLine="480" w:firstLineChars="200"/>
        <w:rPr>
          <w:rFonts w:ascii="宋体" w:hAnsi="宋体" w:cs="仿宋_GB2312"/>
          <w:sz w:val="24"/>
        </w:rPr>
      </w:pPr>
      <w:r>
        <w:rPr>
          <w:rFonts w:hint="eastAsia" w:ascii="宋体" w:hAnsi="宋体" w:cs="仿宋_GB2312"/>
          <w:sz w:val="24"/>
        </w:rPr>
        <w:t>1</w:t>
      </w:r>
      <w:r>
        <w:rPr>
          <w:rFonts w:ascii="宋体" w:hAnsi="宋体" w:cs="仿宋_GB2312"/>
          <w:sz w:val="24"/>
        </w:rPr>
        <w:t>.</w:t>
      </w:r>
      <w:r>
        <w:rPr>
          <w:rFonts w:hint="eastAsia" w:ascii="宋体" w:hAnsi="宋体" w:cs="仿宋_GB2312"/>
          <w:sz w:val="24"/>
        </w:rPr>
        <w:t>系统性能需求</w:t>
      </w:r>
    </w:p>
    <w:p>
      <w:pPr>
        <w:suppressAutoHyphens/>
        <w:spacing w:line="360" w:lineRule="auto"/>
        <w:ind w:firstLine="480" w:firstLineChars="200"/>
        <w:rPr>
          <w:rFonts w:ascii="宋体" w:hAnsi="宋体" w:cs="仿宋_GB2312"/>
          <w:sz w:val="24"/>
        </w:rPr>
      </w:pPr>
      <w:r>
        <w:rPr>
          <w:rFonts w:hint="eastAsia" w:ascii="宋体" w:hAnsi="宋体" w:cs="仿宋_GB2312"/>
          <w:sz w:val="24"/>
        </w:rPr>
        <w:t>根据业务处理类型的不同，应当把交易划分为三类：交互类业务、查询类业务和大数据批量处理类业务，给出响应时间要求的参考值，包括峰值响应时间、平均响应时间。</w:t>
      </w:r>
    </w:p>
    <w:p>
      <w:pPr>
        <w:suppressAutoHyphens/>
        <w:spacing w:line="360" w:lineRule="auto"/>
        <w:ind w:firstLine="480" w:firstLineChars="200"/>
        <w:rPr>
          <w:rFonts w:ascii="宋体" w:hAnsi="宋体" w:cs="仿宋_GB2312"/>
          <w:sz w:val="24"/>
        </w:rPr>
      </w:pPr>
      <w:r>
        <w:rPr>
          <w:rFonts w:hint="eastAsia" w:ascii="宋体" w:hAnsi="宋体" w:cs="仿宋_GB2312"/>
          <w:sz w:val="24"/>
        </w:rPr>
        <w:t>（1）交互类业务</w:t>
      </w:r>
    </w:p>
    <w:p>
      <w:pPr>
        <w:suppressAutoHyphens/>
        <w:spacing w:line="360" w:lineRule="auto"/>
        <w:ind w:firstLine="480" w:firstLineChars="200"/>
        <w:rPr>
          <w:rFonts w:ascii="宋体" w:hAnsi="宋体" w:cs="仿宋_GB2312"/>
          <w:sz w:val="24"/>
        </w:rPr>
      </w:pPr>
      <w:r>
        <w:rPr>
          <w:rFonts w:hint="eastAsia" w:ascii="宋体" w:hAnsi="宋体" w:cs="仿宋_GB2312"/>
          <w:sz w:val="24"/>
        </w:rPr>
        <w:t>交互类业务根据业务复杂性可以分为日常交易和批量交易。</w:t>
      </w:r>
    </w:p>
    <w:p>
      <w:pPr>
        <w:suppressAutoHyphens/>
        <w:spacing w:line="360" w:lineRule="auto"/>
        <w:ind w:firstLine="480" w:firstLineChars="200"/>
        <w:rPr>
          <w:rFonts w:ascii="宋体" w:hAnsi="宋体" w:cs="仿宋_GB2312"/>
          <w:sz w:val="24"/>
        </w:rPr>
      </w:pPr>
      <w:r>
        <w:rPr>
          <w:rFonts w:hint="eastAsia" w:ascii="宋体" w:hAnsi="宋体" w:cs="仿宋_GB2312"/>
          <w:sz w:val="24"/>
        </w:rPr>
        <w:t>日常交易指传统的大厅及通过缴费人端应用办理的交互业务，如缴费信息关联、缴费</w:t>
      </w:r>
      <w:r>
        <w:rPr>
          <w:rFonts w:ascii="宋体" w:hAnsi="宋体" w:cs="仿宋_GB2312"/>
          <w:sz w:val="24"/>
        </w:rPr>
        <w:t>申报</w:t>
      </w:r>
      <w:r>
        <w:rPr>
          <w:rFonts w:hint="eastAsia" w:ascii="宋体" w:hAnsi="宋体" w:cs="仿宋_GB2312"/>
          <w:sz w:val="24"/>
        </w:rPr>
        <w:t>等，具有较高的响应要求。</w:t>
      </w:r>
    </w:p>
    <w:p>
      <w:pPr>
        <w:suppressAutoHyphens/>
        <w:spacing w:line="360" w:lineRule="auto"/>
        <w:ind w:firstLine="480" w:firstLineChars="200"/>
        <w:rPr>
          <w:rFonts w:ascii="宋体" w:hAnsi="宋体" w:cs="仿宋_GB2312"/>
          <w:sz w:val="24"/>
        </w:rPr>
      </w:pPr>
      <w:r>
        <w:rPr>
          <w:rFonts w:hint="eastAsia" w:ascii="宋体" w:hAnsi="宋体" w:cs="仿宋_GB2312"/>
          <w:sz w:val="24"/>
        </w:rPr>
        <w:t xml:space="preserve">批量交易指一次完成多笔业务处理的交易，如批量扣缴等，由于批量交易的数据量不确定，根据具体情况确定相应的响应时间，但要充分考虑系统处理能力能够满足城乡居民缴费群体一次性大批量传递参保登记信息的工作需要，保证处理的时效性，确保不影响正常征收工作。 </w:t>
      </w:r>
    </w:p>
    <w:p>
      <w:pPr>
        <w:suppressAutoHyphens/>
        <w:spacing w:line="360" w:lineRule="auto"/>
        <w:ind w:firstLine="480" w:firstLineChars="200"/>
        <w:rPr>
          <w:rFonts w:ascii="宋体" w:hAnsi="宋体" w:cs="仿宋_GB2312"/>
          <w:sz w:val="24"/>
        </w:rPr>
      </w:pPr>
      <w:r>
        <w:rPr>
          <w:rFonts w:hint="eastAsia" w:ascii="宋体" w:hAnsi="宋体" w:cs="仿宋_GB2312"/>
          <w:sz w:val="24"/>
        </w:rPr>
        <w:t>（2）查询类业务</w:t>
      </w:r>
    </w:p>
    <w:p>
      <w:pPr>
        <w:suppressAutoHyphens/>
        <w:spacing w:line="360" w:lineRule="auto"/>
        <w:ind w:firstLine="480" w:firstLineChars="200"/>
        <w:rPr>
          <w:rFonts w:ascii="宋体" w:hAnsi="宋体" w:cs="仿宋_GB2312"/>
          <w:sz w:val="24"/>
        </w:rPr>
      </w:pPr>
      <w:r>
        <w:rPr>
          <w:rFonts w:hint="eastAsia" w:ascii="宋体" w:hAnsi="宋体" w:cs="仿宋_GB2312"/>
          <w:sz w:val="24"/>
        </w:rPr>
        <w:t>软件应支持缴费人资料查询、申报征收明细信息查询等业务。查询业务由于受到查询的复杂程度、查询的数据量大小等因素的影响，根据业务情况确定响应时间要求，确保不影响正常查询工作。</w:t>
      </w:r>
    </w:p>
    <w:p>
      <w:pPr>
        <w:suppressAutoHyphens/>
        <w:spacing w:line="360" w:lineRule="auto"/>
        <w:ind w:firstLine="480" w:firstLineChars="200"/>
        <w:rPr>
          <w:rFonts w:ascii="宋体" w:hAnsi="宋体" w:cs="仿宋_GB2312"/>
          <w:sz w:val="24"/>
        </w:rPr>
      </w:pPr>
      <w:r>
        <w:rPr>
          <w:rFonts w:hint="eastAsia" w:ascii="宋体" w:hAnsi="宋体" w:cs="仿宋_GB2312"/>
          <w:sz w:val="24"/>
        </w:rPr>
        <w:t>（3）大数据量、批处理业务</w:t>
      </w:r>
    </w:p>
    <w:p>
      <w:pPr>
        <w:suppressAutoHyphens/>
        <w:spacing w:line="360" w:lineRule="auto"/>
        <w:ind w:firstLine="480" w:firstLineChars="200"/>
        <w:rPr>
          <w:rFonts w:ascii="宋体" w:hAnsi="宋体" w:cs="仿宋_GB2312"/>
          <w:sz w:val="24"/>
        </w:rPr>
      </w:pPr>
      <w:r>
        <w:rPr>
          <w:rFonts w:hint="eastAsia" w:ascii="宋体" w:hAnsi="宋体" w:cs="仿宋_GB2312"/>
          <w:sz w:val="24"/>
        </w:rPr>
        <w:t>大数据量、批处理业务包括登记信息批量接收、第三方信息自动比对等业务处理。该类业务具有处理复杂、操作数据量大、处理时间长的特点，具体的响应时间根据业务数据量、业务处理量进行分析，确保不影响正常业务处理。</w:t>
      </w:r>
    </w:p>
    <w:p>
      <w:pPr>
        <w:suppressAutoHyphens/>
        <w:spacing w:line="360" w:lineRule="auto"/>
        <w:ind w:firstLine="480" w:firstLineChars="200"/>
        <w:rPr>
          <w:rFonts w:ascii="宋体" w:hAnsi="宋体" w:cs="仿宋_GB2312"/>
          <w:sz w:val="24"/>
        </w:rPr>
      </w:pPr>
      <w:r>
        <w:rPr>
          <w:rFonts w:ascii="宋体" w:hAnsi="宋体" w:cs="仿宋_GB2312"/>
          <w:sz w:val="24"/>
        </w:rPr>
        <w:t>2.</w:t>
      </w:r>
      <w:r>
        <w:rPr>
          <w:rFonts w:hint="eastAsia" w:ascii="宋体" w:hAnsi="宋体" w:cs="仿宋_GB2312"/>
          <w:sz w:val="24"/>
        </w:rPr>
        <w:t>可靠性需求</w:t>
      </w:r>
    </w:p>
    <w:p>
      <w:pPr>
        <w:suppressAutoHyphens/>
        <w:spacing w:line="360" w:lineRule="auto"/>
        <w:ind w:firstLine="480" w:firstLineChars="200"/>
        <w:rPr>
          <w:rFonts w:ascii="宋体" w:hAnsi="宋体" w:cs="仿宋_GB2312"/>
          <w:sz w:val="24"/>
        </w:rPr>
      </w:pPr>
      <w:r>
        <w:rPr>
          <w:rFonts w:hint="eastAsia" w:ascii="宋体" w:hAnsi="宋体" w:cs="仿宋_GB2312"/>
          <w:sz w:val="24"/>
        </w:rPr>
        <w:t>在软件的成熟性、容错性、易恢复性等方面满足下述要求：</w:t>
      </w:r>
    </w:p>
    <w:p>
      <w:pPr>
        <w:suppressAutoHyphens/>
        <w:spacing w:line="360" w:lineRule="auto"/>
        <w:ind w:firstLine="480" w:firstLineChars="200"/>
        <w:rPr>
          <w:rFonts w:ascii="宋体" w:hAnsi="宋体" w:cs="仿宋_GB2312"/>
          <w:sz w:val="24"/>
        </w:rPr>
      </w:pPr>
      <w:r>
        <w:rPr>
          <w:rFonts w:hint="eastAsia" w:ascii="宋体" w:hAnsi="宋体" w:cs="仿宋_GB2312"/>
          <w:sz w:val="24"/>
        </w:rPr>
        <w:t>（1）考虑各种数据入口的一致性，在手工录入、网上采集、批量处理等环节中提供数据的一致性校验，并为整个系统提供一定的异常数据检测功能。</w:t>
      </w:r>
    </w:p>
    <w:p>
      <w:pPr>
        <w:suppressAutoHyphens/>
        <w:spacing w:line="360" w:lineRule="auto"/>
        <w:ind w:firstLine="480" w:firstLineChars="200"/>
        <w:rPr>
          <w:rFonts w:ascii="宋体" w:hAnsi="宋体" w:cs="仿宋_GB2312"/>
          <w:sz w:val="24"/>
        </w:rPr>
      </w:pPr>
      <w:r>
        <w:rPr>
          <w:rFonts w:hint="eastAsia" w:ascii="宋体" w:hAnsi="宋体" w:cs="仿宋_GB2312"/>
          <w:sz w:val="24"/>
        </w:rPr>
        <w:t>（2）采用成熟的、经过严格测试的通用组件，减少系统差错。</w:t>
      </w:r>
    </w:p>
    <w:p>
      <w:pPr>
        <w:suppressAutoHyphens/>
        <w:spacing w:line="360" w:lineRule="auto"/>
        <w:ind w:firstLine="480" w:firstLineChars="200"/>
        <w:rPr>
          <w:rFonts w:ascii="宋体" w:hAnsi="宋体" w:cs="仿宋_GB2312"/>
          <w:sz w:val="24"/>
        </w:rPr>
      </w:pPr>
      <w:r>
        <w:rPr>
          <w:rFonts w:hint="eastAsia" w:ascii="宋体" w:hAnsi="宋体" w:cs="仿宋_GB2312"/>
          <w:sz w:val="24"/>
        </w:rPr>
        <w:t>（3）当系统在高负荷运转或出现故障，进入异步工作模式时，必须采用可靠的机制，保证数据的零丢失。</w:t>
      </w:r>
    </w:p>
    <w:p>
      <w:pPr>
        <w:suppressAutoHyphens/>
        <w:spacing w:line="360" w:lineRule="auto"/>
        <w:ind w:firstLine="480" w:firstLineChars="200"/>
        <w:rPr>
          <w:rFonts w:ascii="宋体" w:hAnsi="宋体" w:cs="仿宋_GB2312"/>
          <w:sz w:val="24"/>
        </w:rPr>
      </w:pPr>
      <w:r>
        <w:rPr>
          <w:rFonts w:ascii="宋体" w:hAnsi="宋体" w:cs="仿宋_GB2312"/>
          <w:sz w:val="24"/>
        </w:rPr>
        <w:t xml:space="preserve">3. </w:t>
      </w:r>
      <w:r>
        <w:rPr>
          <w:rFonts w:hint="eastAsia" w:ascii="宋体" w:hAnsi="宋体" w:cs="仿宋_GB2312"/>
          <w:sz w:val="24"/>
        </w:rPr>
        <w:t>可扩展性需求</w:t>
      </w:r>
    </w:p>
    <w:p>
      <w:pPr>
        <w:suppressAutoHyphens/>
        <w:spacing w:line="360" w:lineRule="auto"/>
        <w:ind w:firstLine="480" w:firstLineChars="200"/>
        <w:rPr>
          <w:rFonts w:ascii="宋体" w:hAnsi="宋体" w:cs="仿宋_GB2312"/>
          <w:sz w:val="24"/>
        </w:rPr>
      </w:pPr>
      <w:r>
        <w:rPr>
          <w:rFonts w:hint="eastAsia" w:ascii="宋体" w:hAnsi="宋体" w:cs="仿宋_GB2312"/>
          <w:sz w:val="24"/>
        </w:rPr>
        <w:t>（</w:t>
      </w:r>
      <w:r>
        <w:rPr>
          <w:rFonts w:ascii="宋体" w:hAnsi="宋体" w:cs="仿宋_GB2312"/>
          <w:sz w:val="24"/>
        </w:rPr>
        <w:t>1</w:t>
      </w:r>
      <w:r>
        <w:rPr>
          <w:rFonts w:hint="eastAsia" w:ascii="宋体" w:hAnsi="宋体" w:cs="仿宋_GB2312"/>
          <w:sz w:val="24"/>
        </w:rPr>
        <w:t>）在设计上必须具有适应业务变化的能力，当系统新增业务功能或现有业务功能改变时（界面的改变、业务实体变化、业务流程变化、规则的改变、代码改变等），应尽可能减少因业务变化造成的影响。</w:t>
      </w:r>
    </w:p>
    <w:p>
      <w:pPr>
        <w:suppressAutoHyphens/>
        <w:spacing w:line="360" w:lineRule="auto"/>
        <w:ind w:firstLine="480" w:firstLineChars="200"/>
        <w:rPr>
          <w:rFonts w:ascii="宋体" w:hAnsi="宋体" w:cs="仿宋_GB2312"/>
          <w:sz w:val="24"/>
        </w:rPr>
      </w:pPr>
      <w:r>
        <w:rPr>
          <w:rFonts w:hint="eastAsia" w:ascii="宋体" w:hAnsi="宋体" w:cs="仿宋_GB2312"/>
          <w:sz w:val="24"/>
        </w:rPr>
        <w:t>（</w:t>
      </w:r>
      <w:r>
        <w:rPr>
          <w:rFonts w:ascii="宋体" w:hAnsi="宋体" w:cs="仿宋_GB2312"/>
          <w:sz w:val="24"/>
        </w:rPr>
        <w:t>2</w:t>
      </w:r>
      <w:r>
        <w:rPr>
          <w:rFonts w:hint="eastAsia" w:ascii="宋体" w:hAnsi="宋体" w:cs="仿宋_GB2312"/>
          <w:sz w:val="24"/>
        </w:rPr>
        <w:t>）系统设计时应采用</w:t>
      </w:r>
      <w:r>
        <w:rPr>
          <w:rFonts w:ascii="宋体" w:hAnsi="宋体" w:cs="仿宋_GB2312"/>
          <w:sz w:val="24"/>
        </w:rPr>
        <w:t>SOA</w:t>
      </w:r>
      <w:r>
        <w:rPr>
          <w:rFonts w:hint="eastAsia" w:ascii="宋体" w:hAnsi="宋体" w:cs="仿宋_GB2312"/>
          <w:sz w:val="24"/>
        </w:rPr>
        <w:t>的架构思想和模块化的设计，每一模块在功能和结构上都相对独立，模块之间的联系仅通过统一的标准的接口来实现。当设计新模块时，无须考虑其他模块的内部结构。</w:t>
      </w:r>
    </w:p>
    <w:p>
      <w:pPr>
        <w:suppressAutoHyphens/>
        <w:spacing w:line="360" w:lineRule="auto"/>
        <w:ind w:firstLine="480" w:firstLineChars="200"/>
        <w:rPr>
          <w:rFonts w:ascii="宋体" w:hAnsi="宋体" w:cs="仿宋_GB2312"/>
          <w:sz w:val="24"/>
        </w:rPr>
      </w:pPr>
      <w:r>
        <w:rPr>
          <w:rFonts w:hint="eastAsia" w:ascii="宋体" w:hAnsi="宋体" w:cs="仿宋_GB2312"/>
          <w:sz w:val="24"/>
        </w:rPr>
        <w:t>（</w:t>
      </w:r>
      <w:r>
        <w:rPr>
          <w:rFonts w:ascii="宋体" w:hAnsi="宋体" w:cs="仿宋_GB2312"/>
          <w:sz w:val="24"/>
        </w:rPr>
        <w:t>3</w:t>
      </w:r>
      <w:r>
        <w:rPr>
          <w:rFonts w:hint="eastAsia" w:ascii="宋体" w:hAnsi="宋体" w:cs="仿宋_GB2312"/>
          <w:sz w:val="24"/>
        </w:rPr>
        <w:t>）二次开发能力支持，需要具备可扩展的二次开发能力，当增加新系统时，按照框架的要求增加相应的组件，服务的扩展通过配置方式实现，复杂的逻辑规则，可通过插件方式支持，服务配置方式保持统一。</w:t>
      </w:r>
    </w:p>
    <w:p>
      <w:pPr>
        <w:keepNext/>
        <w:keepLines/>
        <w:spacing w:line="360" w:lineRule="auto"/>
        <w:outlineLvl w:val="2"/>
        <w:rPr>
          <w:rFonts w:ascii="宋体" w:hAnsi="宋体" w:cs="黑体"/>
          <w:b/>
          <w:sz w:val="24"/>
        </w:rPr>
      </w:pPr>
      <w:r>
        <w:rPr>
          <w:rFonts w:hint="eastAsia" w:ascii="宋体" w:hAnsi="宋体" w:cs="黑体"/>
          <w:b/>
          <w:sz w:val="24"/>
        </w:rPr>
        <w:t>4．项目实施要求</w:t>
      </w:r>
    </w:p>
    <w:p>
      <w:pPr>
        <w:keepNext/>
        <w:keepLines/>
        <w:spacing w:line="360" w:lineRule="auto"/>
        <w:outlineLvl w:val="2"/>
        <w:rPr>
          <w:rFonts w:ascii="宋体" w:hAnsi="宋体" w:cs="黑体"/>
          <w:b/>
          <w:sz w:val="24"/>
        </w:rPr>
      </w:pPr>
      <w:bookmarkStart w:id="4" w:name="_Toc501198461"/>
      <w:bookmarkStart w:id="5" w:name="_Toc5881952"/>
      <w:bookmarkStart w:id="6" w:name="_Toc500943022"/>
      <w:bookmarkStart w:id="7" w:name="_Toc6079"/>
      <w:r>
        <w:rPr>
          <w:rFonts w:hint="eastAsia" w:ascii="宋体" w:hAnsi="宋体" w:cs="黑体"/>
          <w:b/>
          <w:sz w:val="24"/>
        </w:rPr>
        <w:t>4</w:t>
      </w:r>
      <w:r>
        <w:rPr>
          <w:rFonts w:ascii="宋体" w:hAnsi="宋体" w:cs="黑体"/>
          <w:b/>
          <w:sz w:val="24"/>
        </w:rPr>
        <w:t>.1</w:t>
      </w:r>
      <w:r>
        <w:rPr>
          <w:rFonts w:hint="eastAsia" w:ascii="宋体" w:hAnsi="宋体" w:cs="黑体"/>
          <w:b/>
          <w:sz w:val="24"/>
        </w:rPr>
        <w:t>项目计划管理</w:t>
      </w:r>
      <w:bookmarkEnd w:id="4"/>
      <w:bookmarkEnd w:id="5"/>
      <w:bookmarkEnd w:id="6"/>
      <w:bookmarkEnd w:id="7"/>
    </w:p>
    <w:p>
      <w:pPr>
        <w:suppressAutoHyphens/>
        <w:spacing w:line="360" w:lineRule="auto"/>
        <w:ind w:firstLine="480" w:firstLineChars="200"/>
        <w:rPr>
          <w:rFonts w:ascii="宋体" w:hAnsi="宋体" w:cs="仿宋_GB2312"/>
          <w:sz w:val="24"/>
        </w:rPr>
      </w:pPr>
      <w:r>
        <w:rPr>
          <w:rFonts w:hint="eastAsia" w:ascii="宋体" w:hAnsi="宋体" w:cs="仿宋_GB2312"/>
          <w:sz w:val="24"/>
        </w:rPr>
        <w:t>制定行之有效的项目计划管理方案，应包括：按照招标人要求制定系统运行维护、系统升级完善实施计划，建立项目组工作月报、周报制度，实施项目交付物质量检查，及时汇报项目进展状况等。</w:t>
      </w:r>
    </w:p>
    <w:p>
      <w:pPr>
        <w:suppressAutoHyphens/>
        <w:spacing w:line="360" w:lineRule="auto"/>
        <w:ind w:firstLine="480" w:firstLineChars="200"/>
        <w:rPr>
          <w:rFonts w:ascii="宋体" w:hAnsi="宋体" w:cs="仿宋_GB2312"/>
          <w:sz w:val="24"/>
        </w:rPr>
      </w:pPr>
      <w:r>
        <w:rPr>
          <w:rFonts w:hint="eastAsia" w:ascii="宋体" w:hAnsi="宋体" w:cs="仿宋_GB2312"/>
          <w:sz w:val="24"/>
        </w:rPr>
        <w:t>制定切实可行的工作计划，明确实施进度等；根据项目进行的不同阶段制定项目的里程碑和交付物；检查阶段任务完成的情况和项目阶段性提交物的质量，妥善保存各种运维工单等项目资料。</w:t>
      </w:r>
    </w:p>
    <w:p>
      <w:pPr>
        <w:keepNext/>
        <w:keepLines/>
        <w:spacing w:line="360" w:lineRule="auto"/>
        <w:outlineLvl w:val="2"/>
        <w:rPr>
          <w:rFonts w:ascii="宋体" w:hAnsi="宋体" w:cs="黑体"/>
          <w:b/>
          <w:sz w:val="24"/>
        </w:rPr>
      </w:pPr>
      <w:bookmarkStart w:id="8" w:name="_Toc5881953"/>
      <w:bookmarkStart w:id="9" w:name="_Toc500943026"/>
      <w:bookmarkStart w:id="10" w:name="_Toc501198462"/>
      <w:bookmarkStart w:id="11" w:name="_Toc13122"/>
      <w:r>
        <w:rPr>
          <w:rFonts w:hint="eastAsia" w:ascii="宋体" w:hAnsi="宋体" w:cs="黑体"/>
          <w:b/>
          <w:sz w:val="24"/>
        </w:rPr>
        <w:t>4</w:t>
      </w:r>
      <w:r>
        <w:rPr>
          <w:rFonts w:ascii="宋体" w:hAnsi="宋体" w:cs="黑体"/>
          <w:b/>
          <w:sz w:val="24"/>
        </w:rPr>
        <w:t>.2</w:t>
      </w:r>
      <w:r>
        <w:rPr>
          <w:rFonts w:hint="eastAsia" w:ascii="宋体" w:hAnsi="宋体" w:cs="黑体"/>
          <w:b/>
          <w:sz w:val="24"/>
        </w:rPr>
        <w:t>项目进度管理</w:t>
      </w:r>
      <w:bookmarkEnd w:id="8"/>
      <w:bookmarkEnd w:id="9"/>
      <w:bookmarkEnd w:id="10"/>
      <w:bookmarkEnd w:id="11"/>
    </w:p>
    <w:p>
      <w:pPr>
        <w:suppressAutoHyphens/>
        <w:spacing w:line="360" w:lineRule="auto"/>
        <w:ind w:firstLine="480" w:firstLineChars="200"/>
        <w:rPr>
          <w:rFonts w:ascii="宋体" w:hAnsi="宋体" w:cs="仿宋_GB2312"/>
          <w:sz w:val="24"/>
        </w:rPr>
      </w:pPr>
      <w:r>
        <w:rPr>
          <w:rFonts w:hint="eastAsia" w:ascii="宋体" w:hAnsi="宋体" w:cs="仿宋_GB2312"/>
          <w:sz w:val="24"/>
        </w:rPr>
        <w:t>项目组采用科学合理的方法确定进度目标，编制进度计划和资源供应计划，从制度上和技术上进行进度控制，在保证质量和费用的基础上，实现整体计划目标。</w:t>
      </w:r>
    </w:p>
    <w:p>
      <w:pPr>
        <w:suppressAutoHyphens/>
        <w:spacing w:line="360" w:lineRule="auto"/>
        <w:ind w:firstLine="480" w:firstLineChars="200"/>
        <w:rPr>
          <w:rFonts w:ascii="宋体" w:hAnsi="宋体" w:cs="仿宋_GB2312"/>
          <w:sz w:val="24"/>
        </w:rPr>
      </w:pPr>
      <w:r>
        <w:rPr>
          <w:rFonts w:hint="eastAsia" w:ascii="宋体" w:hAnsi="宋体" w:cs="仿宋_GB2312"/>
          <w:sz w:val="24"/>
        </w:rPr>
        <w:t>制定详细、可行的实施方案，并做好项目实施的准备工作，保障项目的无缝衔接，原有业务的平稳开展。</w:t>
      </w:r>
    </w:p>
    <w:p>
      <w:pPr>
        <w:keepNext/>
        <w:keepLines/>
        <w:spacing w:line="360" w:lineRule="auto"/>
        <w:outlineLvl w:val="2"/>
        <w:rPr>
          <w:rFonts w:ascii="宋体" w:hAnsi="宋体" w:cs="黑体"/>
          <w:b/>
          <w:sz w:val="24"/>
        </w:rPr>
      </w:pPr>
      <w:bookmarkStart w:id="12" w:name="_Toc32212"/>
      <w:bookmarkStart w:id="13" w:name="_Toc500943029"/>
      <w:bookmarkStart w:id="14" w:name="_Toc497416676"/>
      <w:bookmarkStart w:id="15" w:name="_Toc498419373"/>
      <w:bookmarkStart w:id="16" w:name="_Toc501198463"/>
      <w:bookmarkStart w:id="17" w:name="_Toc497493216"/>
      <w:bookmarkStart w:id="18" w:name="_Toc5881954"/>
      <w:r>
        <w:rPr>
          <w:rFonts w:hint="eastAsia" w:ascii="宋体" w:hAnsi="宋体" w:cs="黑体"/>
          <w:b/>
          <w:sz w:val="24"/>
        </w:rPr>
        <w:t>4</w:t>
      </w:r>
      <w:r>
        <w:rPr>
          <w:rFonts w:ascii="宋体" w:hAnsi="宋体" w:cs="黑体"/>
          <w:b/>
          <w:sz w:val="24"/>
        </w:rPr>
        <w:t>.3</w:t>
      </w:r>
      <w:bookmarkEnd w:id="12"/>
      <w:bookmarkEnd w:id="13"/>
      <w:bookmarkEnd w:id="14"/>
      <w:bookmarkEnd w:id="15"/>
      <w:bookmarkEnd w:id="16"/>
      <w:bookmarkEnd w:id="17"/>
      <w:bookmarkEnd w:id="18"/>
      <w:r>
        <w:rPr>
          <w:rFonts w:hint="eastAsia" w:ascii="宋体" w:hAnsi="宋体" w:cs="黑体"/>
          <w:b/>
          <w:sz w:val="24"/>
        </w:rPr>
        <w:t>项目沟通管理</w:t>
      </w:r>
    </w:p>
    <w:p>
      <w:pPr>
        <w:suppressAutoHyphens/>
        <w:spacing w:line="360" w:lineRule="auto"/>
        <w:ind w:firstLine="480" w:firstLineChars="200"/>
        <w:rPr>
          <w:rFonts w:ascii="宋体" w:hAnsi="宋体" w:cs="仿宋_GB2312"/>
          <w:sz w:val="24"/>
        </w:rPr>
      </w:pPr>
      <w:r>
        <w:rPr>
          <w:rFonts w:hint="eastAsia" w:ascii="宋体" w:hAnsi="宋体" w:cs="仿宋_GB2312"/>
          <w:sz w:val="24"/>
        </w:rPr>
        <w:t>项目实施过程中，项目组要通过建立制度化的沟通渠道等方式，如组织例会、及时汇报应用系统优化完善和运行维护周报月报及其他工作，加强与招标人的沟通。</w:t>
      </w:r>
    </w:p>
    <w:p>
      <w:pPr>
        <w:suppressAutoHyphens/>
        <w:spacing w:line="360" w:lineRule="auto"/>
        <w:ind w:firstLine="480" w:firstLineChars="200"/>
        <w:rPr>
          <w:rFonts w:ascii="宋体" w:hAnsi="宋体" w:cs="仿宋_GB2312"/>
          <w:sz w:val="24"/>
        </w:rPr>
      </w:pPr>
      <w:r>
        <w:rPr>
          <w:rFonts w:hint="eastAsia" w:ascii="宋体" w:hAnsi="宋体" w:cs="仿宋_GB2312"/>
          <w:sz w:val="24"/>
        </w:rPr>
        <w:t>（1）项目组要遵守招标人项目管理相关规定，接受招标人项目管理机构和项目负责人的领导，指定负责人与招标人保持沟通和协调。</w:t>
      </w:r>
    </w:p>
    <w:p>
      <w:pPr>
        <w:suppressAutoHyphens/>
        <w:spacing w:line="360" w:lineRule="auto"/>
        <w:ind w:firstLine="480" w:firstLineChars="200"/>
        <w:rPr>
          <w:rFonts w:ascii="宋体" w:hAnsi="宋体" w:cs="仿宋_GB2312"/>
          <w:sz w:val="24"/>
        </w:rPr>
      </w:pPr>
      <w:r>
        <w:rPr>
          <w:rFonts w:hint="eastAsia" w:ascii="宋体" w:hAnsi="宋体" w:cs="仿宋_GB2312"/>
          <w:sz w:val="24"/>
        </w:rPr>
        <w:t>（2）建立项目例会、周报、月报制度，就项目进展情况、存在的问题、需要协调的主要事项、下一阶段工作计划等与招标人进行适时的沟通协调。</w:t>
      </w:r>
    </w:p>
    <w:p>
      <w:pPr>
        <w:keepNext/>
        <w:keepLines/>
        <w:spacing w:line="360" w:lineRule="auto"/>
        <w:outlineLvl w:val="2"/>
        <w:rPr>
          <w:rFonts w:ascii="宋体" w:hAnsi="宋体" w:cs="黑体"/>
          <w:b/>
          <w:sz w:val="24"/>
        </w:rPr>
      </w:pPr>
      <w:bookmarkStart w:id="19" w:name="_Toc5881957"/>
      <w:r>
        <w:rPr>
          <w:rFonts w:hint="eastAsia" w:ascii="宋体" w:hAnsi="宋体" w:cs="黑体"/>
          <w:b/>
          <w:sz w:val="24"/>
        </w:rPr>
        <w:t>4</w:t>
      </w:r>
      <w:r>
        <w:rPr>
          <w:rFonts w:ascii="宋体" w:hAnsi="宋体" w:cs="黑体"/>
          <w:b/>
          <w:sz w:val="24"/>
        </w:rPr>
        <w:t>.4</w:t>
      </w:r>
      <w:r>
        <w:rPr>
          <w:rFonts w:hint="eastAsia" w:ascii="宋体" w:hAnsi="宋体" w:cs="黑体"/>
          <w:b/>
          <w:sz w:val="24"/>
        </w:rPr>
        <w:t>项目变更管理</w:t>
      </w:r>
      <w:bookmarkEnd w:id="19"/>
    </w:p>
    <w:p>
      <w:pPr>
        <w:suppressAutoHyphens/>
        <w:spacing w:line="360" w:lineRule="auto"/>
        <w:ind w:firstLine="480" w:firstLineChars="200"/>
        <w:rPr>
          <w:rFonts w:ascii="宋体" w:hAnsi="宋体" w:cs="仿宋_GB2312"/>
          <w:sz w:val="24"/>
        </w:rPr>
      </w:pPr>
      <w:r>
        <w:rPr>
          <w:rFonts w:hint="eastAsia" w:ascii="宋体" w:hAnsi="宋体" w:cs="仿宋_GB2312"/>
          <w:sz w:val="24"/>
        </w:rPr>
        <w:t>项目组应建立项目变更管理办法，指定专人负责项目实施过程中出现的各种变更情况，包括：人力资源变更、技术变更、需求变更等。对于每项变更，都必须按照预先设计好的项目变更流程，提出变更请求，评估变更可能带来的影响，经招标人审批后，才能实施变更。变更工作完成后，须通知所有相关人员，确保项目能够协调一致地进行。</w:t>
      </w:r>
    </w:p>
    <w:p>
      <w:pPr>
        <w:keepNext/>
        <w:keepLines/>
        <w:spacing w:line="360" w:lineRule="auto"/>
        <w:outlineLvl w:val="2"/>
        <w:rPr>
          <w:rFonts w:ascii="宋体" w:hAnsi="宋体" w:cs="黑体"/>
          <w:b/>
          <w:sz w:val="24"/>
        </w:rPr>
      </w:pPr>
      <w:bookmarkStart w:id="20" w:name="_Toc5881959"/>
      <w:r>
        <w:rPr>
          <w:rFonts w:hint="eastAsia" w:ascii="宋体" w:hAnsi="宋体" w:cs="黑体"/>
          <w:b/>
          <w:sz w:val="24"/>
        </w:rPr>
        <w:t>4</w:t>
      </w:r>
      <w:r>
        <w:rPr>
          <w:rFonts w:ascii="宋体" w:hAnsi="宋体" w:cs="黑体"/>
          <w:b/>
          <w:sz w:val="24"/>
        </w:rPr>
        <w:t>.5</w:t>
      </w:r>
      <w:r>
        <w:rPr>
          <w:rFonts w:hint="eastAsia" w:ascii="宋体" w:hAnsi="宋体" w:cs="黑体"/>
          <w:b/>
          <w:sz w:val="24"/>
        </w:rPr>
        <w:t>项目风险管理</w:t>
      </w:r>
      <w:bookmarkEnd w:id="20"/>
    </w:p>
    <w:p>
      <w:pPr>
        <w:suppressAutoHyphens/>
        <w:spacing w:line="360" w:lineRule="auto"/>
        <w:ind w:firstLine="480" w:firstLineChars="200"/>
        <w:rPr>
          <w:rFonts w:ascii="宋体" w:hAnsi="宋体" w:cs="仿宋_GB2312"/>
          <w:sz w:val="24"/>
        </w:rPr>
      </w:pPr>
      <w:r>
        <w:rPr>
          <w:rFonts w:hint="eastAsia" w:ascii="宋体" w:hAnsi="宋体" w:cs="仿宋_GB2312"/>
          <w:sz w:val="24"/>
        </w:rPr>
        <w:t>项目组应针对优化完善和运行维护的工作要求，详细分析项目过程中可能出现的各类风险，制定完善的风险管理策略，以有效控制风险发生。</w:t>
      </w:r>
    </w:p>
    <w:p>
      <w:pPr>
        <w:keepNext/>
        <w:keepLines/>
        <w:spacing w:line="360" w:lineRule="auto"/>
        <w:outlineLvl w:val="2"/>
        <w:rPr>
          <w:rFonts w:ascii="宋体" w:hAnsi="宋体" w:cs="黑体"/>
          <w:b/>
          <w:sz w:val="24"/>
        </w:rPr>
      </w:pPr>
      <w:r>
        <w:rPr>
          <w:rFonts w:hint="eastAsia" w:ascii="宋体" w:hAnsi="宋体" w:cs="黑体"/>
          <w:b/>
          <w:sz w:val="24"/>
        </w:rPr>
        <w:t>4</w:t>
      </w:r>
      <w:r>
        <w:rPr>
          <w:rFonts w:ascii="宋体" w:hAnsi="宋体" w:cs="黑体"/>
          <w:b/>
          <w:sz w:val="24"/>
        </w:rPr>
        <w:t>.6</w:t>
      </w:r>
      <w:r>
        <w:rPr>
          <w:rFonts w:hint="eastAsia" w:ascii="宋体" w:hAnsi="宋体" w:cs="黑体"/>
          <w:b/>
          <w:sz w:val="24"/>
        </w:rPr>
        <w:t>项目人员管理</w:t>
      </w:r>
    </w:p>
    <w:p>
      <w:pPr>
        <w:suppressAutoHyphens/>
        <w:spacing w:line="360" w:lineRule="auto"/>
        <w:ind w:firstLine="480" w:firstLineChars="200"/>
        <w:rPr>
          <w:rFonts w:ascii="宋体" w:hAnsi="宋体" w:cs="仿宋_GB2312"/>
          <w:sz w:val="24"/>
        </w:rPr>
      </w:pPr>
      <w:r>
        <w:rPr>
          <w:rFonts w:hint="eastAsia" w:ascii="宋体" w:hAnsi="宋体" w:cs="仿宋_GB2312"/>
          <w:sz w:val="24"/>
        </w:rPr>
        <w:t>（1）中标方选派工作责任心强、技术水平高、业务熟练、管理经验丰富的人员专职参加该项目的建设。项目实施人员应与投标文件中所提供的人员名单相符，不经招标人许可随意变更，招标人有权追究中标人责任，并采取相应处罚措施。</w:t>
      </w:r>
    </w:p>
    <w:p>
      <w:pPr>
        <w:suppressAutoHyphens/>
        <w:spacing w:line="360" w:lineRule="auto"/>
        <w:ind w:firstLine="480" w:firstLineChars="200"/>
        <w:rPr>
          <w:rFonts w:ascii="宋体" w:hAnsi="宋体" w:cs="仿宋_GB2312"/>
          <w:sz w:val="24"/>
        </w:rPr>
      </w:pPr>
      <w:r>
        <w:rPr>
          <w:rFonts w:hint="eastAsia" w:ascii="宋体" w:hAnsi="宋体" w:cs="仿宋_GB2312"/>
          <w:sz w:val="24"/>
        </w:rPr>
        <w:t>（2）中标方选派的项目组成员应以专职为主，且专职人员比例应不低于90％。专职人员应严格遵守招标人的各项规章和管理制度，服从招标人合理的工作安排，在项目实施期间不得兼任与本项目无关的其他工作。</w:t>
      </w:r>
    </w:p>
    <w:p>
      <w:pPr>
        <w:suppressAutoHyphens/>
        <w:spacing w:line="360" w:lineRule="auto"/>
        <w:ind w:firstLine="480" w:firstLineChars="200"/>
        <w:rPr>
          <w:rFonts w:ascii="宋体" w:hAnsi="宋体" w:cs="仿宋_GB2312"/>
          <w:sz w:val="24"/>
        </w:rPr>
      </w:pPr>
      <w:r>
        <w:rPr>
          <w:rFonts w:hint="eastAsia" w:ascii="宋体" w:hAnsi="宋体" w:cs="仿宋_GB2312"/>
          <w:sz w:val="24"/>
        </w:rPr>
        <w:t>（3）中标方应选派专人担任项目经理，所派人员应具有丰富的项目管理工作经验、相关证书及电子政务类项目的实施经验。</w:t>
      </w:r>
    </w:p>
    <w:p>
      <w:pPr>
        <w:suppressAutoHyphens/>
        <w:spacing w:line="360" w:lineRule="auto"/>
        <w:ind w:firstLine="480" w:firstLineChars="200"/>
        <w:rPr>
          <w:rFonts w:ascii="宋体" w:hAnsi="宋体" w:cs="仿宋_GB2312"/>
          <w:sz w:val="24"/>
        </w:rPr>
      </w:pPr>
      <w:r>
        <w:rPr>
          <w:rFonts w:hint="eastAsia" w:ascii="宋体" w:hAnsi="宋体" w:cs="仿宋_GB2312"/>
          <w:sz w:val="24"/>
        </w:rPr>
        <w:t>（4）项目成员应熟练掌握技术技能，对相关业务知识有清晰的认识，各项目小组需具备不同的专业人员，项目成员分工应合理。</w:t>
      </w:r>
    </w:p>
    <w:p>
      <w:pPr>
        <w:suppressAutoHyphens/>
        <w:spacing w:line="360" w:lineRule="auto"/>
        <w:ind w:firstLine="480" w:firstLineChars="200"/>
        <w:rPr>
          <w:rFonts w:ascii="宋体" w:hAnsi="宋体" w:cs="仿宋_GB2312"/>
          <w:sz w:val="24"/>
        </w:rPr>
      </w:pPr>
      <w:r>
        <w:rPr>
          <w:rFonts w:hint="eastAsia" w:ascii="宋体" w:hAnsi="宋体" w:cs="仿宋_GB2312"/>
          <w:sz w:val="24"/>
        </w:rPr>
        <w:t>（5）中标方应按阶段提交项目参与人员名单，经局方确认。公司应保证项目组成员的稳定性，如特殊情况需要调整项目组成员的，应提前一个月书面通知局方，并获得局方的确认后才能安排调整。</w:t>
      </w:r>
    </w:p>
    <w:p>
      <w:pPr>
        <w:keepNext/>
        <w:keepLines/>
        <w:spacing w:line="360" w:lineRule="auto"/>
        <w:outlineLvl w:val="2"/>
        <w:rPr>
          <w:rFonts w:ascii="宋体" w:hAnsi="宋体" w:cs="黑体"/>
          <w:b/>
          <w:sz w:val="24"/>
        </w:rPr>
      </w:pPr>
      <w:r>
        <w:rPr>
          <w:rFonts w:hint="eastAsia" w:ascii="宋体" w:hAnsi="宋体" w:cs="黑体"/>
          <w:b/>
          <w:sz w:val="24"/>
        </w:rPr>
        <w:t>5．项目验收要求</w:t>
      </w:r>
    </w:p>
    <w:p>
      <w:pPr>
        <w:keepNext/>
        <w:keepLines/>
        <w:spacing w:line="360" w:lineRule="auto"/>
        <w:outlineLvl w:val="2"/>
        <w:rPr>
          <w:rFonts w:ascii="宋体" w:hAnsi="宋体" w:cs="黑体"/>
          <w:b/>
          <w:sz w:val="24"/>
        </w:rPr>
      </w:pPr>
      <w:r>
        <w:rPr>
          <w:rFonts w:hint="eastAsia" w:ascii="宋体" w:hAnsi="宋体" w:cs="黑体"/>
          <w:b/>
          <w:sz w:val="24"/>
        </w:rPr>
        <w:t>5</w:t>
      </w:r>
      <w:r>
        <w:rPr>
          <w:rFonts w:ascii="宋体" w:hAnsi="宋体" w:cs="黑体"/>
          <w:b/>
          <w:sz w:val="24"/>
        </w:rPr>
        <w:t>.1</w:t>
      </w:r>
      <w:r>
        <w:rPr>
          <w:rFonts w:hint="eastAsia" w:ascii="宋体" w:hAnsi="宋体" w:cs="黑体"/>
          <w:b/>
          <w:sz w:val="24"/>
        </w:rPr>
        <w:t>总体要求</w:t>
      </w:r>
    </w:p>
    <w:p>
      <w:pPr>
        <w:suppressAutoHyphens/>
        <w:spacing w:line="360" w:lineRule="auto"/>
        <w:ind w:firstLine="480" w:firstLineChars="200"/>
        <w:rPr>
          <w:rFonts w:ascii="宋体" w:hAnsi="宋体" w:cs="仿宋_GB2312"/>
          <w:sz w:val="24"/>
        </w:rPr>
      </w:pPr>
      <w:r>
        <w:rPr>
          <w:rFonts w:hint="eastAsia" w:ascii="宋体" w:hAnsi="宋体" w:cs="仿宋_GB2312"/>
          <w:sz w:val="24"/>
        </w:rPr>
        <w:t>项目验收工作由国家税务总局辽宁省税务局按照内部验收的有关制度和流程组织开展。</w:t>
      </w:r>
    </w:p>
    <w:p>
      <w:pPr>
        <w:suppressAutoHyphens/>
        <w:spacing w:line="360" w:lineRule="auto"/>
        <w:ind w:firstLine="480" w:firstLineChars="200"/>
        <w:rPr>
          <w:rFonts w:ascii="宋体" w:hAnsi="宋体" w:cs="仿宋_GB2312"/>
          <w:sz w:val="24"/>
        </w:rPr>
      </w:pPr>
      <w:r>
        <w:rPr>
          <w:rFonts w:hint="eastAsia" w:ascii="宋体" w:hAnsi="宋体" w:cs="仿宋_GB2312"/>
          <w:sz w:val="24"/>
        </w:rPr>
        <w:t>在系统完成上线后的一个月内提出验收申请，局方负责审核是否满足项目验收准入条件。满足验收准入条件后，予以启动项目验收程序。</w:t>
      </w:r>
    </w:p>
    <w:p>
      <w:pPr>
        <w:keepNext/>
        <w:keepLines/>
        <w:spacing w:line="360" w:lineRule="auto"/>
        <w:outlineLvl w:val="2"/>
        <w:rPr>
          <w:rFonts w:ascii="宋体" w:hAnsi="宋体" w:cs="黑体"/>
          <w:b/>
          <w:sz w:val="24"/>
        </w:rPr>
      </w:pPr>
      <w:r>
        <w:rPr>
          <w:rFonts w:hint="eastAsia" w:ascii="宋体" w:hAnsi="宋体" w:cs="黑体"/>
          <w:b/>
          <w:sz w:val="24"/>
        </w:rPr>
        <w:t>5</w:t>
      </w:r>
      <w:r>
        <w:rPr>
          <w:rFonts w:ascii="宋体" w:hAnsi="宋体" w:cs="黑体"/>
          <w:b/>
          <w:sz w:val="24"/>
        </w:rPr>
        <w:t>.2</w:t>
      </w:r>
      <w:r>
        <w:rPr>
          <w:rFonts w:hint="eastAsia" w:ascii="宋体" w:hAnsi="宋体" w:cs="黑体"/>
          <w:b/>
          <w:sz w:val="24"/>
        </w:rPr>
        <w:t>项目验收</w:t>
      </w:r>
    </w:p>
    <w:p>
      <w:pPr>
        <w:suppressAutoHyphens/>
        <w:spacing w:line="360" w:lineRule="auto"/>
        <w:ind w:firstLine="480" w:firstLineChars="200"/>
        <w:rPr>
          <w:rFonts w:ascii="宋体" w:hAnsi="宋体" w:cs="仿宋_GB2312"/>
          <w:sz w:val="24"/>
        </w:rPr>
      </w:pPr>
      <w:r>
        <w:rPr>
          <w:rFonts w:hint="eastAsia" w:ascii="宋体" w:hAnsi="宋体" w:cs="仿宋_GB2312"/>
          <w:sz w:val="24"/>
        </w:rPr>
        <w:t>（1）协助局方全面、准确验证软件的各项功能模块是否达到标准；</w:t>
      </w:r>
    </w:p>
    <w:p>
      <w:pPr>
        <w:suppressAutoHyphens/>
        <w:spacing w:line="360" w:lineRule="auto"/>
        <w:ind w:firstLine="480" w:firstLineChars="200"/>
        <w:rPr>
          <w:rFonts w:ascii="宋体" w:hAnsi="宋体" w:cs="仿宋_GB2312"/>
          <w:sz w:val="24"/>
        </w:rPr>
      </w:pPr>
      <w:r>
        <w:rPr>
          <w:rFonts w:hint="eastAsia" w:ascii="宋体" w:hAnsi="宋体" w:cs="仿宋_GB2312"/>
          <w:sz w:val="24"/>
        </w:rPr>
        <w:t>（2）协助局方全面、准确验证软件的各项性能是否能达到要求；</w:t>
      </w:r>
    </w:p>
    <w:p>
      <w:pPr>
        <w:suppressAutoHyphens/>
        <w:spacing w:line="360" w:lineRule="auto"/>
        <w:ind w:firstLine="480" w:firstLineChars="200"/>
        <w:rPr>
          <w:rFonts w:ascii="宋体" w:hAnsi="宋体" w:cs="仿宋_GB2312"/>
          <w:sz w:val="24"/>
        </w:rPr>
      </w:pPr>
      <w:r>
        <w:rPr>
          <w:rFonts w:hint="eastAsia" w:ascii="宋体" w:hAnsi="宋体" w:cs="仿宋_GB2312"/>
          <w:sz w:val="24"/>
        </w:rPr>
        <w:t>（3）开发方应对验收时发现问题制定详细明确的处理方案并及时修改；</w:t>
      </w:r>
    </w:p>
    <w:p>
      <w:pPr>
        <w:suppressAutoHyphens/>
        <w:spacing w:line="360" w:lineRule="auto"/>
        <w:ind w:firstLine="480" w:firstLineChars="200"/>
        <w:rPr>
          <w:rFonts w:ascii="宋体" w:hAnsi="宋体" w:cs="仿宋_GB2312"/>
          <w:sz w:val="24"/>
        </w:rPr>
      </w:pPr>
      <w:r>
        <w:rPr>
          <w:rFonts w:hint="eastAsia" w:ascii="宋体" w:hAnsi="宋体" w:cs="仿宋_GB2312"/>
          <w:sz w:val="24"/>
        </w:rPr>
        <w:t>（4）开发方必须按局方要求提交移交物清单及清单所列内容的最终版本（包括纸制和电子版），并经局方签字确认；</w:t>
      </w:r>
    </w:p>
    <w:p>
      <w:pPr>
        <w:suppressAutoHyphens/>
        <w:spacing w:line="360" w:lineRule="auto"/>
        <w:ind w:firstLine="480" w:firstLineChars="200"/>
        <w:rPr>
          <w:rFonts w:ascii="宋体" w:hAnsi="宋体" w:cs="仿宋_GB2312"/>
          <w:sz w:val="24"/>
        </w:rPr>
      </w:pPr>
      <w:r>
        <w:rPr>
          <w:rFonts w:hint="eastAsia" w:ascii="宋体" w:hAnsi="宋体" w:cs="仿宋_GB2312"/>
          <w:sz w:val="24"/>
        </w:rPr>
        <w:t>（5）项目验收评审通过后，局方出具项目验收报告。</w:t>
      </w:r>
    </w:p>
    <w:p>
      <w:pPr>
        <w:keepNext/>
        <w:keepLines/>
        <w:spacing w:line="360" w:lineRule="auto"/>
        <w:outlineLvl w:val="2"/>
        <w:rPr>
          <w:rFonts w:ascii="宋体" w:hAnsi="宋体" w:cs="黑体"/>
          <w:b/>
          <w:sz w:val="24"/>
        </w:rPr>
      </w:pPr>
      <w:r>
        <w:rPr>
          <w:rFonts w:hint="eastAsia" w:ascii="宋体" w:hAnsi="宋体" w:cs="黑体"/>
          <w:b/>
          <w:sz w:val="24"/>
        </w:rPr>
        <w:t>5</w:t>
      </w:r>
      <w:r>
        <w:rPr>
          <w:rFonts w:ascii="宋体" w:hAnsi="宋体" w:cs="黑体"/>
          <w:b/>
          <w:sz w:val="24"/>
        </w:rPr>
        <w:t>.3</w:t>
      </w:r>
      <w:r>
        <w:rPr>
          <w:rFonts w:hint="eastAsia" w:ascii="宋体" w:hAnsi="宋体" w:cs="黑体"/>
          <w:b/>
          <w:sz w:val="24"/>
        </w:rPr>
        <w:t>验收指标</w:t>
      </w:r>
    </w:p>
    <w:p>
      <w:pPr>
        <w:suppressAutoHyphens/>
        <w:spacing w:line="360" w:lineRule="auto"/>
        <w:ind w:firstLine="480" w:firstLineChars="200"/>
        <w:rPr>
          <w:rFonts w:ascii="宋体" w:hAnsi="宋体"/>
          <w:sz w:val="24"/>
        </w:rPr>
      </w:pPr>
      <w:r>
        <w:rPr>
          <w:rFonts w:hint="eastAsia" w:ascii="宋体" w:hAnsi="宋体"/>
          <w:sz w:val="24"/>
        </w:rPr>
        <w:t>验收指标包括系统功能、性能、安全可靠性、友好性、易用性、用户文档、兼容性、可扩展性及其他与需求相关的一切指标。开发方应积极做好验收测试的配合与支持工作，提交验收报告，并对系统建设中存在的主要问题提出整改意见和建议，并对验收测试工作给出实质性响应。</w:t>
      </w:r>
    </w:p>
    <w:p>
      <w:pPr>
        <w:keepNext/>
        <w:keepLines/>
        <w:spacing w:line="360" w:lineRule="auto"/>
        <w:outlineLvl w:val="2"/>
        <w:rPr>
          <w:rFonts w:ascii="宋体" w:hAnsi="宋体" w:cs="黑体"/>
          <w:b/>
          <w:sz w:val="24"/>
        </w:rPr>
      </w:pPr>
      <w:r>
        <w:rPr>
          <w:rFonts w:hint="eastAsia" w:ascii="宋体" w:hAnsi="宋体" w:cs="黑体"/>
          <w:b/>
          <w:sz w:val="24"/>
        </w:rPr>
        <w:t>5</w:t>
      </w:r>
      <w:r>
        <w:rPr>
          <w:rFonts w:ascii="宋体" w:hAnsi="宋体" w:cs="黑体"/>
          <w:b/>
          <w:sz w:val="24"/>
        </w:rPr>
        <w:t>.4</w:t>
      </w:r>
      <w:r>
        <w:rPr>
          <w:rFonts w:hint="eastAsia" w:ascii="宋体" w:hAnsi="宋体" w:cs="黑体"/>
          <w:b/>
          <w:sz w:val="24"/>
        </w:rPr>
        <w:t>文档交付</w:t>
      </w:r>
    </w:p>
    <w:p>
      <w:pPr>
        <w:suppressAutoHyphens/>
        <w:spacing w:line="360" w:lineRule="auto"/>
        <w:ind w:firstLine="480" w:firstLineChars="200"/>
        <w:rPr>
          <w:rFonts w:ascii="宋体" w:hAnsi="宋体"/>
          <w:sz w:val="24"/>
        </w:rPr>
      </w:pPr>
      <w:r>
        <w:rPr>
          <w:rFonts w:hint="eastAsia" w:ascii="宋体" w:hAnsi="宋体"/>
          <w:sz w:val="24"/>
        </w:rPr>
        <w:t>在软件产品提交后和项目完成时将系统的有关技术文件、详细设计资料及测试、验收报告等文档汇集成册交付局方，并向局方提供技术转移的方案和策略。</w:t>
      </w:r>
    </w:p>
    <w:p>
      <w:pPr>
        <w:suppressAutoHyphens/>
        <w:spacing w:line="360" w:lineRule="auto"/>
        <w:ind w:firstLine="480" w:firstLineChars="200"/>
        <w:rPr>
          <w:rFonts w:ascii="宋体" w:hAnsi="宋体"/>
          <w:sz w:val="24"/>
        </w:rPr>
      </w:pPr>
      <w:r>
        <w:rPr>
          <w:rFonts w:hint="eastAsia" w:ascii="宋体" w:hAnsi="宋体"/>
          <w:sz w:val="24"/>
        </w:rPr>
        <w:t>（1）开发方必须提供本项目系统在实施上线后的完整技术文档。</w:t>
      </w:r>
    </w:p>
    <w:p>
      <w:pPr>
        <w:suppressAutoHyphens/>
        <w:spacing w:line="360" w:lineRule="auto"/>
        <w:ind w:firstLine="480" w:firstLineChars="200"/>
        <w:rPr>
          <w:rFonts w:ascii="宋体" w:hAnsi="宋体"/>
          <w:sz w:val="24"/>
        </w:rPr>
      </w:pPr>
      <w:r>
        <w:rPr>
          <w:rFonts w:hint="eastAsia" w:ascii="宋体" w:hAnsi="宋体"/>
          <w:sz w:val="24"/>
        </w:rPr>
        <w:t>（2）开发方提供的技术实施文档必须符合软件工程文档编写相关规范。</w:t>
      </w:r>
    </w:p>
    <w:p>
      <w:pPr>
        <w:keepNext/>
        <w:keepLines/>
        <w:spacing w:line="360" w:lineRule="auto"/>
        <w:outlineLvl w:val="2"/>
        <w:rPr>
          <w:rFonts w:ascii="宋体" w:hAnsi="宋体" w:cs="黑体"/>
          <w:b/>
          <w:sz w:val="24"/>
        </w:rPr>
      </w:pPr>
      <w:r>
        <w:rPr>
          <w:rFonts w:hint="eastAsia" w:ascii="宋体" w:hAnsi="宋体" w:cs="黑体"/>
          <w:b/>
          <w:sz w:val="24"/>
        </w:rPr>
        <w:t>6．项目技术支持服务要求</w:t>
      </w:r>
    </w:p>
    <w:p>
      <w:pPr>
        <w:suppressAutoHyphens/>
        <w:spacing w:line="360" w:lineRule="auto"/>
        <w:ind w:firstLine="480" w:firstLineChars="200"/>
        <w:rPr>
          <w:rFonts w:ascii="宋体" w:hAnsi="宋体"/>
          <w:bCs/>
          <w:sz w:val="24"/>
        </w:rPr>
      </w:pPr>
      <w:r>
        <w:rPr>
          <w:rFonts w:hint="eastAsia" w:ascii="宋体" w:hAnsi="宋体"/>
          <w:bCs/>
          <w:sz w:val="24"/>
        </w:rPr>
        <w:t>依托综合支持服务平台，通过电话、传真、</w:t>
      </w:r>
      <w:r>
        <w:rPr>
          <w:rFonts w:ascii="宋体" w:hAnsi="宋体"/>
          <w:bCs/>
          <w:sz w:val="24"/>
        </w:rPr>
        <w:t>Web、Email、QQ、现场等服务途径提供全方位的服务。包括但不限于：</w:t>
      </w:r>
    </w:p>
    <w:p>
      <w:pPr>
        <w:numPr>
          <w:ilvl w:val="0"/>
          <w:numId w:val="1"/>
        </w:numPr>
        <w:suppressAutoHyphens/>
        <w:spacing w:line="360" w:lineRule="auto"/>
        <w:ind w:left="-2" w:leftChars="-1" w:firstLine="424" w:firstLineChars="177"/>
        <w:rPr>
          <w:rFonts w:ascii="宋体" w:hAnsi="宋体"/>
          <w:bCs/>
          <w:sz w:val="24"/>
        </w:rPr>
      </w:pPr>
      <w:r>
        <w:rPr>
          <w:rFonts w:ascii="宋体" w:hAnsi="宋体"/>
          <w:bCs/>
          <w:sz w:val="24"/>
        </w:rPr>
        <w:t>热线支持：通过电话、传真等方式完成有关社保费管理子系统服务请求的响应和答复，并配合远程网络登录的方式，完成服务请求响应的全过程，同时按要求填写相应文档和表单。</w:t>
      </w:r>
    </w:p>
    <w:p>
      <w:pPr>
        <w:numPr>
          <w:ilvl w:val="0"/>
          <w:numId w:val="1"/>
        </w:numPr>
        <w:suppressAutoHyphens/>
        <w:spacing w:line="360" w:lineRule="auto"/>
        <w:ind w:left="-2" w:leftChars="-1" w:firstLine="424" w:firstLineChars="177"/>
        <w:rPr>
          <w:rFonts w:ascii="宋体" w:hAnsi="宋体"/>
          <w:bCs/>
          <w:sz w:val="24"/>
        </w:rPr>
      </w:pPr>
      <w:r>
        <w:rPr>
          <w:rFonts w:ascii="宋体" w:hAnsi="宋体"/>
          <w:bCs/>
          <w:sz w:val="24"/>
        </w:rPr>
        <w:t>网上支持：通过技术支持网站、Email、QQ等方式回答关于软件相关问题，回答频率为每天。通过网络远程监控、诊断和解决各基层项目单位软件问题和故障。</w:t>
      </w:r>
    </w:p>
    <w:p>
      <w:pPr>
        <w:numPr>
          <w:ilvl w:val="0"/>
          <w:numId w:val="1"/>
        </w:numPr>
        <w:suppressAutoHyphens/>
        <w:spacing w:line="360" w:lineRule="auto"/>
        <w:ind w:left="-2" w:leftChars="-1" w:firstLine="424" w:firstLineChars="177"/>
        <w:rPr>
          <w:rFonts w:ascii="宋体" w:hAnsi="宋体"/>
          <w:bCs/>
          <w:sz w:val="24"/>
        </w:rPr>
      </w:pPr>
      <w:r>
        <w:rPr>
          <w:rFonts w:ascii="宋体" w:hAnsi="宋体"/>
          <w:bCs/>
          <w:sz w:val="24"/>
        </w:rPr>
        <w:t>现场支持：根据</w:t>
      </w:r>
      <w:r>
        <w:rPr>
          <w:rFonts w:hint="eastAsia" w:ascii="宋体" w:hAnsi="宋体"/>
          <w:bCs/>
          <w:sz w:val="24"/>
        </w:rPr>
        <w:t>税务局</w:t>
      </w:r>
      <w:r>
        <w:rPr>
          <w:rFonts w:ascii="宋体" w:hAnsi="宋体"/>
          <w:bCs/>
          <w:sz w:val="24"/>
        </w:rPr>
        <w:t>方要求配备专门的现场技术支持人员用于响应事出紧急或无法通过常规方法（支持热线和网上支持）解决的税务系统基层单位的重大疑难的服务请求。</w:t>
      </w:r>
    </w:p>
    <w:p>
      <w:pPr>
        <w:numPr>
          <w:ilvl w:val="0"/>
          <w:numId w:val="1"/>
        </w:numPr>
        <w:suppressAutoHyphens/>
        <w:adjustRightInd w:val="0"/>
        <w:snapToGrid w:val="0"/>
        <w:spacing w:line="360" w:lineRule="auto"/>
        <w:ind w:left="-2" w:leftChars="-1" w:firstLine="424" w:firstLineChars="177"/>
        <w:jc w:val="left"/>
        <w:rPr>
          <w:rFonts w:ascii="宋体" w:hAnsi="宋体" w:cs="仿宋_GB2312"/>
          <w:sz w:val="24"/>
        </w:rPr>
      </w:pPr>
      <w:r>
        <w:rPr>
          <w:rFonts w:ascii="宋体" w:hAnsi="宋体"/>
          <w:bCs/>
          <w:sz w:val="24"/>
        </w:rPr>
        <w:t>会议支持：按照</w:t>
      </w:r>
      <w:r>
        <w:rPr>
          <w:rFonts w:hint="eastAsia" w:ascii="宋体" w:hAnsi="宋体"/>
          <w:bCs/>
          <w:sz w:val="24"/>
        </w:rPr>
        <w:t>税务局</w:t>
      </w:r>
      <w:r>
        <w:rPr>
          <w:rFonts w:ascii="宋体" w:hAnsi="宋体"/>
          <w:bCs/>
          <w:sz w:val="24"/>
        </w:rPr>
        <w:t>方技术部门和业务等相关部门的要求，参加</w:t>
      </w:r>
      <w:r>
        <w:rPr>
          <w:rFonts w:hint="eastAsia" w:ascii="宋体" w:hAnsi="宋体"/>
          <w:bCs/>
          <w:sz w:val="24"/>
        </w:rPr>
        <w:t>税务局方组织</w:t>
      </w:r>
      <w:r>
        <w:rPr>
          <w:rFonts w:ascii="宋体" w:hAnsi="宋体"/>
          <w:bCs/>
          <w:sz w:val="24"/>
        </w:rPr>
        <w:t>的各种业务需求分析、系统运行总结等相关会议。</w:t>
      </w:r>
    </w:p>
    <w:p>
      <w:pPr>
        <w:keepNext/>
        <w:keepLines/>
        <w:spacing w:line="360" w:lineRule="auto"/>
        <w:outlineLvl w:val="2"/>
        <w:rPr>
          <w:rFonts w:ascii="宋体" w:hAnsi="宋体" w:cs="黑体"/>
          <w:b/>
          <w:sz w:val="24"/>
        </w:rPr>
      </w:pPr>
      <w:r>
        <w:rPr>
          <w:rFonts w:hint="eastAsia" w:ascii="宋体" w:hAnsi="宋体" w:cs="黑体"/>
          <w:b/>
          <w:sz w:val="24"/>
        </w:rPr>
        <w:t>7．税收信息化项目开发和应用管理工作要求</w:t>
      </w:r>
    </w:p>
    <w:p>
      <w:pPr>
        <w:suppressAutoHyphens/>
        <w:spacing w:line="360" w:lineRule="auto"/>
        <w:ind w:firstLine="480" w:firstLineChars="200"/>
        <w:rPr>
          <w:rFonts w:ascii="宋体" w:hAnsi="宋体"/>
          <w:bCs/>
          <w:sz w:val="24"/>
        </w:rPr>
      </w:pPr>
      <w:r>
        <w:rPr>
          <w:rFonts w:hint="eastAsia" w:ascii="宋体" w:hAnsi="宋体"/>
          <w:bCs/>
          <w:sz w:val="24"/>
        </w:rPr>
        <w:t>本项目中，应实行两级检查、两级验收制度。一级检查、二级检查和一级验收由实施小组组织完成；二级验收由省局组织实施。各级检查验收严格按项目实施中制订的相应的检查验收规定和质量评定标准执行。对实施和验收过程中出现的重大技术问题，将上报用户协调处理，对一般质量问题的处理应予以书面记录。</w:t>
      </w:r>
    </w:p>
    <w:p>
      <w:pPr>
        <w:suppressAutoHyphens/>
        <w:spacing w:line="360" w:lineRule="auto"/>
        <w:ind w:firstLine="480" w:firstLineChars="200"/>
        <w:rPr>
          <w:rFonts w:ascii="宋体" w:hAnsi="宋体"/>
          <w:bCs/>
          <w:sz w:val="24"/>
        </w:rPr>
      </w:pPr>
      <w:r>
        <w:rPr>
          <w:rFonts w:hint="eastAsia" w:ascii="宋体" w:hAnsi="宋体"/>
          <w:bCs/>
          <w:sz w:val="24"/>
        </w:rPr>
        <w:t>（1）职责分工控制措施</w:t>
      </w:r>
    </w:p>
    <w:p>
      <w:pPr>
        <w:suppressAutoHyphens/>
        <w:spacing w:line="360" w:lineRule="auto"/>
        <w:ind w:firstLine="480" w:firstLineChars="200"/>
        <w:rPr>
          <w:rFonts w:ascii="宋体" w:hAnsi="宋体"/>
          <w:bCs/>
          <w:sz w:val="24"/>
        </w:rPr>
      </w:pPr>
      <w:r>
        <w:rPr>
          <w:rFonts w:hint="eastAsia" w:ascii="宋体" w:hAnsi="宋体"/>
          <w:bCs/>
          <w:sz w:val="24"/>
        </w:rPr>
        <w:t>金税三期社保费征管信息系统（标准版）管理子系统的前台操作页面，按照数据管理权限和菜单管理权限分别进行控制，符合金税三期岗责权限管理控制的要求，对不同级别不同范围的数据按照岗责要求和数据权限进行细分。</w:t>
      </w:r>
    </w:p>
    <w:p>
      <w:pPr>
        <w:suppressAutoHyphens/>
        <w:spacing w:line="360" w:lineRule="auto"/>
        <w:ind w:firstLine="480" w:firstLineChars="200"/>
        <w:rPr>
          <w:rFonts w:ascii="宋体" w:hAnsi="宋体"/>
          <w:bCs/>
          <w:sz w:val="24"/>
        </w:rPr>
      </w:pPr>
      <w:r>
        <w:rPr>
          <w:rFonts w:hint="eastAsia" w:ascii="宋体" w:hAnsi="宋体"/>
          <w:bCs/>
          <w:sz w:val="24"/>
        </w:rPr>
        <w:t>（2）不相容岗位（职责）分离控制措施</w:t>
      </w:r>
    </w:p>
    <w:p>
      <w:pPr>
        <w:suppressAutoHyphens/>
        <w:spacing w:line="360" w:lineRule="auto"/>
        <w:ind w:firstLine="480" w:firstLineChars="200"/>
        <w:rPr>
          <w:rFonts w:ascii="宋体" w:hAnsi="宋体"/>
          <w:bCs/>
          <w:sz w:val="24"/>
        </w:rPr>
      </w:pPr>
      <w:r>
        <w:rPr>
          <w:rFonts w:hint="eastAsia" w:ascii="宋体" w:hAnsi="宋体"/>
          <w:bCs/>
          <w:sz w:val="24"/>
        </w:rPr>
        <w:t>系统岗位设置符合不相容岗位（职责）分离的要求，避免一人履职发生错误或舞弊风险。</w:t>
      </w:r>
    </w:p>
    <w:p>
      <w:pPr>
        <w:suppressAutoHyphens/>
        <w:spacing w:line="360" w:lineRule="auto"/>
        <w:ind w:firstLine="480" w:firstLineChars="200"/>
        <w:rPr>
          <w:rFonts w:ascii="宋体" w:hAnsi="宋体"/>
          <w:bCs/>
          <w:sz w:val="24"/>
        </w:rPr>
      </w:pPr>
      <w:r>
        <w:rPr>
          <w:rFonts w:hint="eastAsia" w:ascii="宋体" w:hAnsi="宋体"/>
          <w:bCs/>
          <w:sz w:val="24"/>
        </w:rPr>
        <w:t>（3）流程控制措施</w:t>
      </w:r>
    </w:p>
    <w:p>
      <w:pPr>
        <w:suppressAutoHyphens/>
        <w:spacing w:line="360" w:lineRule="auto"/>
        <w:ind w:firstLine="480" w:firstLineChars="200"/>
        <w:rPr>
          <w:rFonts w:ascii="宋体" w:hAnsi="宋体"/>
          <w:bCs/>
          <w:sz w:val="24"/>
        </w:rPr>
      </w:pPr>
      <w:r>
        <w:rPr>
          <w:rFonts w:hint="eastAsia" w:ascii="宋体" w:hAnsi="宋体"/>
          <w:bCs/>
          <w:sz w:val="24"/>
        </w:rPr>
        <w:t>金税三期社保费征管信息系统（标准版）管理子系统的操作步骤、处理时限等应当符合相关工作规程。</w:t>
      </w:r>
      <w:r>
        <w:rPr>
          <w:rFonts w:ascii="宋体" w:hAnsi="宋体"/>
          <w:bCs/>
          <w:sz w:val="24"/>
        </w:rPr>
        <w:t xml:space="preserve"> </w:t>
      </w:r>
    </w:p>
    <w:p>
      <w:pPr>
        <w:suppressAutoHyphens/>
        <w:spacing w:line="360" w:lineRule="auto"/>
        <w:ind w:firstLine="480" w:firstLineChars="200"/>
        <w:rPr>
          <w:rFonts w:ascii="宋体" w:hAnsi="宋体"/>
          <w:bCs/>
          <w:sz w:val="24"/>
        </w:rPr>
      </w:pPr>
      <w:r>
        <w:rPr>
          <w:rFonts w:hint="eastAsia" w:ascii="宋体" w:hAnsi="宋体"/>
          <w:bCs/>
          <w:sz w:val="24"/>
        </w:rPr>
        <w:t>（4）公开运行控制措施</w:t>
      </w:r>
    </w:p>
    <w:p>
      <w:pPr>
        <w:suppressAutoHyphens/>
        <w:spacing w:line="360" w:lineRule="auto"/>
        <w:ind w:firstLine="480" w:firstLineChars="200"/>
        <w:rPr>
          <w:rFonts w:ascii="宋体" w:hAnsi="宋体"/>
          <w:bCs/>
          <w:sz w:val="24"/>
        </w:rPr>
      </w:pPr>
      <w:r>
        <w:rPr>
          <w:rFonts w:hint="eastAsia" w:ascii="宋体" w:hAnsi="宋体"/>
          <w:bCs/>
          <w:sz w:val="24"/>
        </w:rPr>
        <w:t>金税三期社保费征管信息系统（标准版）管理子系统对规定和实际需要公开的事项，做到对具体对象公开。</w:t>
      </w:r>
    </w:p>
    <w:p>
      <w:pPr>
        <w:suppressAutoHyphens/>
        <w:spacing w:line="360" w:lineRule="auto"/>
        <w:ind w:firstLine="480" w:firstLineChars="200"/>
        <w:rPr>
          <w:rFonts w:ascii="宋体" w:hAnsi="宋体"/>
          <w:bCs/>
          <w:sz w:val="24"/>
        </w:rPr>
      </w:pPr>
      <w:r>
        <w:rPr>
          <w:rFonts w:hint="eastAsia" w:ascii="宋体" w:hAnsi="宋体"/>
          <w:bCs/>
          <w:sz w:val="24"/>
        </w:rPr>
        <w:t>（5）痕迹记录控制措施</w:t>
      </w:r>
    </w:p>
    <w:p>
      <w:pPr>
        <w:suppressAutoHyphens/>
        <w:spacing w:line="360" w:lineRule="auto"/>
        <w:ind w:firstLine="480" w:firstLineChars="200"/>
        <w:rPr>
          <w:rFonts w:ascii="宋体" w:hAnsi="宋体"/>
          <w:bCs/>
          <w:sz w:val="24"/>
        </w:rPr>
      </w:pPr>
      <w:r>
        <w:rPr>
          <w:rFonts w:hint="eastAsia" w:ascii="宋体" w:hAnsi="宋体"/>
          <w:bCs/>
          <w:sz w:val="24"/>
        </w:rPr>
        <w:t>金税三期社保费征管信息系统（标准版）管理子系统涉及的数据操作要有记录留存后台数据库。</w:t>
      </w:r>
    </w:p>
    <w:p>
      <w:pPr>
        <w:keepNext/>
        <w:keepLines/>
        <w:spacing w:line="360" w:lineRule="auto"/>
        <w:outlineLvl w:val="2"/>
        <w:rPr>
          <w:rFonts w:ascii="宋体" w:hAnsi="宋体" w:cs="黑体"/>
          <w:b/>
          <w:sz w:val="24"/>
        </w:rPr>
      </w:pPr>
      <w:r>
        <w:rPr>
          <w:rFonts w:hint="eastAsia" w:ascii="宋体" w:hAnsi="宋体" w:cs="黑体"/>
          <w:b/>
          <w:sz w:val="24"/>
        </w:rPr>
        <w:t>8．其他要求</w:t>
      </w:r>
    </w:p>
    <w:p>
      <w:pPr>
        <w:keepNext/>
        <w:keepLines/>
        <w:spacing w:line="360" w:lineRule="auto"/>
        <w:outlineLvl w:val="2"/>
        <w:rPr>
          <w:rFonts w:ascii="宋体" w:hAnsi="宋体" w:cs="黑体"/>
          <w:b/>
          <w:sz w:val="24"/>
        </w:rPr>
      </w:pPr>
      <w:bookmarkStart w:id="21" w:name="_Toc500434456"/>
      <w:r>
        <w:rPr>
          <w:rFonts w:hint="eastAsia" w:ascii="宋体" w:hAnsi="宋体" w:cs="黑体"/>
          <w:b/>
          <w:sz w:val="24"/>
        </w:rPr>
        <w:t>8</w:t>
      </w:r>
      <w:r>
        <w:rPr>
          <w:rFonts w:ascii="宋体" w:hAnsi="宋体" w:cs="黑体"/>
          <w:b/>
          <w:sz w:val="24"/>
        </w:rPr>
        <w:t>.1</w:t>
      </w:r>
      <w:bookmarkEnd w:id="21"/>
      <w:r>
        <w:rPr>
          <w:rFonts w:hint="eastAsia" w:ascii="宋体" w:hAnsi="宋体" w:cs="黑体"/>
          <w:b/>
          <w:sz w:val="24"/>
        </w:rPr>
        <w:t>保密要求</w:t>
      </w:r>
    </w:p>
    <w:p>
      <w:pPr>
        <w:suppressAutoHyphens/>
        <w:spacing w:line="360" w:lineRule="auto"/>
        <w:ind w:firstLine="480" w:firstLineChars="200"/>
        <w:rPr>
          <w:rFonts w:ascii="宋体" w:hAnsi="宋体"/>
          <w:bCs/>
          <w:sz w:val="24"/>
        </w:rPr>
      </w:pPr>
      <w:r>
        <w:rPr>
          <w:rFonts w:hint="eastAsia" w:ascii="宋体" w:hAnsi="宋体"/>
          <w:bCs/>
          <w:sz w:val="24"/>
        </w:rPr>
        <w:t>对所有的知识和资料必须进行严格的保密工作，以防止知识的流失和泄露。参与项目的所有人员应严格遵守招标人的保密要求签订保密协议，并由公司担保；对于提供的资料，不得以任何形式向第三方传播。</w:t>
      </w:r>
    </w:p>
    <w:p>
      <w:pPr>
        <w:keepNext/>
        <w:keepLines/>
        <w:spacing w:line="360" w:lineRule="auto"/>
        <w:outlineLvl w:val="2"/>
        <w:rPr>
          <w:rFonts w:ascii="宋体" w:hAnsi="宋体" w:cs="黑体"/>
          <w:b/>
          <w:sz w:val="24"/>
        </w:rPr>
      </w:pPr>
      <w:r>
        <w:rPr>
          <w:rFonts w:hint="eastAsia" w:ascii="宋体" w:hAnsi="宋体" w:cs="黑体"/>
          <w:b/>
          <w:sz w:val="24"/>
        </w:rPr>
        <w:t>8</w:t>
      </w:r>
      <w:r>
        <w:rPr>
          <w:rFonts w:ascii="宋体" w:hAnsi="宋体" w:cs="黑体"/>
          <w:b/>
          <w:sz w:val="24"/>
        </w:rPr>
        <w:t>.2</w:t>
      </w:r>
      <w:r>
        <w:rPr>
          <w:rFonts w:hint="eastAsia" w:ascii="宋体" w:hAnsi="宋体" w:cs="黑体"/>
          <w:b/>
          <w:sz w:val="24"/>
        </w:rPr>
        <w:t>归档要求</w:t>
      </w:r>
    </w:p>
    <w:p>
      <w:pPr>
        <w:suppressAutoHyphens/>
        <w:spacing w:line="360" w:lineRule="auto"/>
        <w:ind w:firstLine="480" w:firstLineChars="200"/>
        <w:rPr>
          <w:rFonts w:ascii="宋体" w:hAnsi="宋体" w:cs="仿宋_GB2312"/>
          <w:sz w:val="24"/>
        </w:rPr>
      </w:pPr>
      <w:r>
        <w:rPr>
          <w:rFonts w:hint="eastAsia" w:ascii="宋体" w:hAnsi="宋体" w:cs="仿宋_GB2312"/>
          <w:sz w:val="24"/>
        </w:rPr>
        <w:t>应按照国家税务总局要求，对该项目所涉及的运行维护、优化完善等工作文档按招标人质量、数量、提供方式、提供时间等要求进行整理，并提交招标人归档。</w:t>
      </w:r>
    </w:p>
    <w:p>
      <w:pPr>
        <w:keepNext/>
        <w:keepLines/>
        <w:spacing w:line="360" w:lineRule="auto"/>
        <w:outlineLvl w:val="2"/>
        <w:rPr>
          <w:rFonts w:ascii="宋体" w:hAnsi="宋体" w:cs="黑体"/>
          <w:b/>
          <w:sz w:val="24"/>
        </w:rPr>
      </w:pPr>
      <w:r>
        <w:rPr>
          <w:rFonts w:hint="eastAsia" w:ascii="宋体" w:hAnsi="宋体" w:cs="黑体"/>
          <w:b/>
          <w:sz w:val="24"/>
        </w:rPr>
        <w:t>8</w:t>
      </w:r>
      <w:r>
        <w:rPr>
          <w:rFonts w:ascii="宋体" w:hAnsi="宋体" w:cs="黑体"/>
          <w:b/>
          <w:sz w:val="24"/>
        </w:rPr>
        <w:t>.3</w:t>
      </w:r>
      <w:r>
        <w:rPr>
          <w:rFonts w:hint="eastAsia" w:ascii="宋体" w:hAnsi="宋体" w:cs="黑体"/>
          <w:b/>
          <w:sz w:val="24"/>
        </w:rPr>
        <w:t>知识转移要求</w:t>
      </w:r>
    </w:p>
    <w:p>
      <w:pPr>
        <w:suppressAutoHyphens/>
        <w:spacing w:line="360" w:lineRule="auto"/>
        <w:ind w:firstLine="480" w:firstLineChars="200"/>
        <w:rPr>
          <w:rFonts w:ascii="宋体" w:hAnsi="宋体" w:cs="仿宋_GB2312"/>
          <w:sz w:val="24"/>
        </w:rPr>
      </w:pPr>
      <w:r>
        <w:rPr>
          <w:rFonts w:hint="eastAsia" w:ascii="宋体" w:hAnsi="宋体" w:cs="仿宋_GB2312"/>
          <w:sz w:val="24"/>
        </w:rPr>
        <w:t>须将系统的分析说明、需求分析文档、部署实施步聚、项目应用软件开发技术和经验、运维规划、环境保障、质量保障等知识和技能通过培训和文档等形式转移给局方。</w:t>
      </w:r>
    </w:p>
    <w:p>
      <w:pPr>
        <w:widowControl/>
        <w:jc w:val="left"/>
        <w:rPr>
          <w:rFonts w:ascii="Arial" w:hAnsi="Arial" w:cs="Arial"/>
          <w:b/>
          <w:kern w:val="44"/>
          <w:sz w:val="36"/>
          <w:szCs w:val="36"/>
        </w:rPr>
      </w:pPr>
      <w:r>
        <w:rPr>
          <w:rFonts w:ascii="Arial" w:hAnsi="Arial" w:cs="Arial"/>
          <w:b/>
          <w:kern w:val="44"/>
          <w:sz w:val="36"/>
          <w:szCs w:val="36"/>
        </w:rPr>
        <w:br w:type="page"/>
      </w:r>
    </w:p>
    <w:p>
      <w:pPr>
        <w:pStyle w:val="5"/>
        <w:spacing w:before="0" w:after="0"/>
        <w:rPr>
          <w:rFonts w:ascii="Arial" w:hAnsi="Arial" w:cs="Arial"/>
        </w:rPr>
      </w:pPr>
    </w:p>
    <w:p>
      <w:pPr>
        <w:pStyle w:val="5"/>
        <w:spacing w:before="0" w:after="0"/>
        <w:rPr>
          <w:rFonts w:ascii="Arial" w:hAnsi="Arial" w:cs="Arial"/>
        </w:rPr>
      </w:pPr>
    </w:p>
    <w:p>
      <w:pPr>
        <w:pStyle w:val="5"/>
        <w:spacing w:before="0" w:after="0"/>
        <w:rPr>
          <w:rFonts w:ascii="Arial" w:hAnsi="Arial" w:cs="Arial"/>
        </w:rPr>
      </w:pPr>
    </w:p>
    <w:p>
      <w:pPr>
        <w:pStyle w:val="5"/>
        <w:spacing w:before="0" w:after="0"/>
        <w:rPr>
          <w:rFonts w:ascii="Arial" w:hAnsi="Arial" w:cs="Arial"/>
        </w:rPr>
      </w:pPr>
    </w:p>
    <w:p>
      <w:pPr>
        <w:pStyle w:val="5"/>
        <w:spacing w:before="0" w:after="0"/>
        <w:rPr>
          <w:rFonts w:ascii="Arial" w:hAnsi="Arial" w:cs="Arial"/>
        </w:rPr>
      </w:pPr>
    </w:p>
    <w:p>
      <w:pPr>
        <w:pStyle w:val="5"/>
        <w:spacing w:before="0" w:after="0"/>
        <w:rPr>
          <w:rFonts w:ascii="Arial" w:hAnsi="Arial" w:cs="Arial"/>
        </w:rPr>
      </w:pPr>
    </w:p>
    <w:p>
      <w:pPr>
        <w:pStyle w:val="5"/>
        <w:spacing w:before="0" w:after="0"/>
        <w:rPr>
          <w:rFonts w:ascii="Arial" w:hAnsi="Arial" w:cs="Arial"/>
        </w:rPr>
      </w:pPr>
    </w:p>
    <w:p>
      <w:pPr>
        <w:pStyle w:val="5"/>
        <w:spacing w:before="0" w:after="0"/>
        <w:rPr>
          <w:rFonts w:ascii="Arial" w:hAnsi="Arial" w:cs="Arial"/>
        </w:rPr>
      </w:pPr>
    </w:p>
    <w:p>
      <w:pPr>
        <w:pStyle w:val="5"/>
        <w:spacing w:before="0" w:after="0"/>
        <w:rPr>
          <w:rFonts w:ascii="Arial" w:hAnsi="Arial" w:cs="Arial"/>
        </w:rPr>
      </w:pPr>
    </w:p>
    <w:p>
      <w:pPr>
        <w:pStyle w:val="5"/>
        <w:spacing w:before="0" w:after="0"/>
        <w:rPr>
          <w:rFonts w:ascii="Arial" w:hAnsi="Arial" w:cs="Arial"/>
        </w:rPr>
      </w:pPr>
      <w:r>
        <w:rPr>
          <w:rFonts w:ascii="Arial" w:hAnsi="Arial" w:cs="Arial"/>
        </w:rPr>
        <w:t>包2</w:t>
      </w:r>
      <w:r>
        <w:rPr>
          <w:rFonts w:hint="eastAsia" w:ascii="Arial" w:hAnsi="Arial" w:cs="Arial"/>
        </w:rPr>
        <w:t>：</w:t>
      </w:r>
      <w:r>
        <w:rPr>
          <w:rFonts w:ascii="Arial" w:hAnsi="Arial" w:cs="Arial"/>
        </w:rPr>
        <w:t>金税三期社保费征管</w:t>
      </w:r>
      <w:r>
        <w:rPr>
          <w:rFonts w:hint="eastAsia" w:ascii="Arial" w:hAnsi="Arial" w:cs="Arial"/>
        </w:rPr>
        <w:t>信息系统（标准版）征收子系统</w:t>
      </w:r>
    </w:p>
    <w:p>
      <w:pPr>
        <w:widowControl/>
        <w:adjustRightInd w:val="0"/>
        <w:snapToGrid w:val="0"/>
        <w:spacing w:line="360" w:lineRule="auto"/>
        <w:jc w:val="center"/>
        <w:rPr>
          <w:rFonts w:ascii="Arial" w:hAnsi="Arial" w:cs="Arial"/>
          <w:b/>
          <w:bCs/>
          <w:kern w:val="0"/>
          <w:sz w:val="32"/>
          <w:szCs w:val="32"/>
        </w:rPr>
      </w:pPr>
      <w:r>
        <w:rPr>
          <w:rFonts w:ascii="Arial" w:hAnsi="Arial" w:cs="Arial"/>
        </w:rPr>
        <w:br w:type="page"/>
      </w:r>
      <w:r>
        <w:rPr>
          <w:rFonts w:ascii="Arial" w:hAnsi="Arial" w:cs="Arial"/>
          <w:b/>
          <w:bCs/>
          <w:kern w:val="0"/>
          <w:sz w:val="32"/>
          <w:szCs w:val="32"/>
        </w:rPr>
        <w:t>国家税务总局辽宁省税务局金税三期社保费征管信息系统（标准版）征收子系统上线部署项目需求</w:t>
      </w:r>
    </w:p>
    <w:p>
      <w:pPr>
        <w:suppressAutoHyphens/>
        <w:adjustRightInd w:val="0"/>
        <w:snapToGrid w:val="0"/>
        <w:spacing w:line="360" w:lineRule="auto"/>
        <w:ind w:firstLine="640" w:firstLineChars="200"/>
        <w:jc w:val="left"/>
        <w:rPr>
          <w:rFonts w:ascii="Arial" w:hAnsi="Arial" w:cs="Arial"/>
          <w:sz w:val="32"/>
          <w:szCs w:val="32"/>
        </w:rPr>
      </w:pPr>
    </w:p>
    <w:p>
      <w:pPr>
        <w:suppressAutoHyphens/>
        <w:spacing w:line="360" w:lineRule="auto"/>
        <w:ind w:firstLine="482" w:firstLineChars="200"/>
        <w:rPr>
          <w:rFonts w:ascii="Arial" w:hAnsi="Arial" w:cs="Arial"/>
          <w:b/>
          <w:bCs/>
          <w:color w:val="000000"/>
          <w:sz w:val="24"/>
        </w:rPr>
      </w:pPr>
      <w:r>
        <w:rPr>
          <w:rFonts w:ascii="Arial" w:hAnsi="Arial" w:cs="Arial"/>
          <w:b/>
          <w:bCs/>
          <w:color w:val="000000"/>
          <w:sz w:val="24"/>
        </w:rPr>
        <w:t>一、项目概述</w:t>
      </w:r>
    </w:p>
    <w:p>
      <w:pPr>
        <w:suppressAutoHyphens/>
        <w:spacing w:line="360" w:lineRule="auto"/>
        <w:ind w:firstLine="482" w:firstLineChars="200"/>
        <w:rPr>
          <w:rFonts w:ascii="Arial" w:hAnsi="Arial" w:cs="Arial"/>
          <w:b/>
          <w:bCs/>
          <w:color w:val="000000"/>
          <w:sz w:val="24"/>
        </w:rPr>
      </w:pPr>
      <w:r>
        <w:rPr>
          <w:rFonts w:ascii="Arial" w:hAnsi="Arial" w:cs="Arial"/>
          <w:b/>
          <w:bCs/>
          <w:color w:val="000000"/>
          <w:sz w:val="24"/>
        </w:rPr>
        <w:t>1.项目背景</w:t>
      </w:r>
    </w:p>
    <w:p>
      <w:pPr>
        <w:suppressAutoHyphens/>
        <w:spacing w:line="360" w:lineRule="auto"/>
        <w:ind w:firstLine="480" w:firstLineChars="200"/>
        <w:rPr>
          <w:rFonts w:ascii="Arial" w:hAnsi="Arial" w:cs="Arial"/>
          <w:color w:val="000000"/>
          <w:sz w:val="24"/>
        </w:rPr>
      </w:pPr>
      <w:r>
        <w:rPr>
          <w:rFonts w:ascii="Arial" w:hAnsi="Arial" w:cs="Arial"/>
          <w:color w:val="000000"/>
          <w:sz w:val="24"/>
        </w:rPr>
        <w:t>按照《深化党和国家机构改革方案》和《国税地税征管体制改革方案》要求，自2019年1月1日起，将基本养老保险费、基本医疗保险费、失业保险费、工伤保险费和生育保险费等各项社保费交由税务部门征收，实现税费统征统管、同征同查。</w:t>
      </w:r>
    </w:p>
    <w:p>
      <w:pPr>
        <w:suppressAutoHyphens/>
        <w:spacing w:line="360" w:lineRule="auto"/>
        <w:ind w:firstLine="480" w:firstLineChars="200"/>
        <w:rPr>
          <w:rFonts w:ascii="Arial" w:hAnsi="Arial" w:cs="Arial"/>
          <w:color w:val="000000"/>
          <w:sz w:val="24"/>
        </w:rPr>
      </w:pPr>
      <w:r>
        <w:rPr>
          <w:rFonts w:ascii="Arial" w:hAnsi="Arial" w:cs="Arial"/>
          <w:color w:val="000000"/>
          <w:sz w:val="24"/>
        </w:rPr>
        <w:t>为了切实落实中办、国办要求，税务总局、人社部联合制定了《社会保险费征管职责划转工作方案》，明确了工作职责，业务边界、划转关键事项和时间。为更好的完成信息系统建设任务，税务总局以金税三期系统为基础，优化形成金税三期社保费征管信息系统，由各省(市)负责该系统的实施推广。本次社保费系统推广上线所涉及的缴费单位和自然人数量多、范围广。在征收职责划转时，还应充分考虑业务连续性和稳定性，在保证缴费人满意度的前提下，让社会保险费征管业务能顺利、平稳过渡到新系统。因此上线时间紧、任务多、影响大，我局为提前做好筹备工作，以满足总局对于上线工作部署要求，有序推进上线各项工作特建立本项目。</w:t>
      </w:r>
    </w:p>
    <w:p>
      <w:pPr>
        <w:suppressAutoHyphens/>
        <w:spacing w:line="360" w:lineRule="auto"/>
        <w:ind w:firstLine="480" w:firstLineChars="200"/>
        <w:rPr>
          <w:rFonts w:ascii="Arial" w:hAnsi="Arial" w:cs="Arial"/>
          <w:color w:val="000000"/>
          <w:sz w:val="24"/>
        </w:rPr>
      </w:pPr>
      <w:r>
        <w:rPr>
          <w:rFonts w:ascii="Arial" w:hAnsi="Arial" w:cs="Arial"/>
          <w:color w:val="000000"/>
          <w:sz w:val="24"/>
        </w:rPr>
        <w:t>为保障社保费征收工作的正常进行，需要按照业务要求，实现缴费主体的顺利缴费。基于总局提供的金三核心征管税收平台，实现与社保部门的信息交换。由于我省社保部门信息化建设存在一定的差异，总局的方案无法兼顾所有单位，我省负责征收子系统的落地实施以及本地个性化的建设。</w:t>
      </w:r>
    </w:p>
    <w:p>
      <w:pPr>
        <w:suppressAutoHyphens/>
        <w:spacing w:line="360" w:lineRule="auto"/>
        <w:ind w:firstLine="480" w:firstLineChars="200"/>
        <w:rPr>
          <w:rFonts w:ascii="Arial" w:hAnsi="Arial" w:cs="Arial"/>
          <w:color w:val="000000"/>
          <w:sz w:val="24"/>
        </w:rPr>
      </w:pPr>
      <w:r>
        <w:rPr>
          <w:rFonts w:ascii="Arial" w:hAnsi="Arial" w:cs="Arial"/>
          <w:color w:val="000000"/>
          <w:sz w:val="24"/>
        </w:rPr>
        <w:t>2.项目内容</w:t>
      </w:r>
    </w:p>
    <w:p>
      <w:pPr>
        <w:suppressAutoHyphens/>
        <w:spacing w:line="360" w:lineRule="auto"/>
        <w:ind w:firstLine="480"/>
        <w:rPr>
          <w:rFonts w:ascii="Arial" w:hAnsi="Arial" w:cs="Arial"/>
          <w:color w:val="000000"/>
          <w:sz w:val="24"/>
        </w:rPr>
      </w:pPr>
      <w:r>
        <w:rPr>
          <w:rFonts w:ascii="Arial" w:hAnsi="Arial" w:cs="Arial"/>
          <w:color w:val="000000"/>
          <w:sz w:val="24"/>
        </w:rPr>
        <w:t>本项目在“以缴费人的角度，把各项准备工作往前移”为总体指导思想下，“有利于提高缴费人用户体验、有利于系统稳定平稳过渡、有利于上线工作的整体顺利推进”为原则要求，对金税三期社保费征管信息系统软件和本地特色软件差异化和风险点进行识别和排除。确保金税三期社保费征管信息系统和本地特色软件按时上线，单轨运行成功。</w:t>
      </w:r>
    </w:p>
    <w:p>
      <w:pPr>
        <w:suppressAutoHyphens/>
        <w:spacing w:line="360" w:lineRule="auto"/>
        <w:ind w:firstLine="480"/>
        <w:rPr>
          <w:rFonts w:ascii="Arial" w:hAnsi="Arial" w:cs="Arial"/>
          <w:color w:val="000000"/>
          <w:sz w:val="24"/>
        </w:rPr>
      </w:pPr>
      <w:r>
        <w:rPr>
          <w:rFonts w:ascii="Arial" w:hAnsi="Arial" w:cs="Arial"/>
          <w:color w:val="000000"/>
          <w:sz w:val="24"/>
        </w:rPr>
        <w:t>主要工作目标如下：</w:t>
      </w:r>
    </w:p>
    <w:p>
      <w:pPr>
        <w:numPr>
          <w:ilvl w:val="0"/>
          <w:numId w:val="2"/>
        </w:numPr>
        <w:suppressAutoHyphens/>
        <w:spacing w:line="360" w:lineRule="auto"/>
        <w:ind w:left="840" w:hanging="414"/>
        <w:rPr>
          <w:rFonts w:ascii="Arial" w:hAnsi="Arial" w:cs="Arial"/>
          <w:color w:val="000000"/>
          <w:sz w:val="24"/>
        </w:rPr>
      </w:pPr>
      <w:r>
        <w:rPr>
          <w:rFonts w:ascii="Arial" w:hAnsi="Arial" w:cs="Arial"/>
          <w:color w:val="000000"/>
          <w:sz w:val="24"/>
        </w:rPr>
        <w:t>确保征收子系统实施成功</w:t>
      </w:r>
    </w:p>
    <w:p>
      <w:pPr>
        <w:suppressAutoHyphens/>
        <w:spacing w:line="360" w:lineRule="auto"/>
        <w:ind w:firstLine="480" w:firstLineChars="200"/>
        <w:rPr>
          <w:rFonts w:ascii="Arial" w:hAnsi="Arial" w:cs="Arial"/>
          <w:color w:val="000000"/>
          <w:sz w:val="24"/>
        </w:rPr>
      </w:pPr>
      <w:r>
        <w:rPr>
          <w:rFonts w:ascii="Arial" w:hAnsi="Arial" w:cs="Arial"/>
          <w:color w:val="000000"/>
          <w:sz w:val="24"/>
        </w:rPr>
        <w:t>金三社保费征收系统是金税三期社保费征管信息系统重要组成部分，需按照总局的总体时间要求，完成数据库实例安装、数据库初始化、应用程序部署，并完成要完成初始化数据投放、迁移数据投放、系统关联性联调工作。</w:t>
      </w:r>
    </w:p>
    <w:p>
      <w:pPr>
        <w:suppressAutoHyphens/>
        <w:spacing w:line="360" w:lineRule="auto"/>
        <w:ind w:firstLine="480" w:firstLineChars="200"/>
        <w:rPr>
          <w:rFonts w:ascii="Arial" w:hAnsi="Arial" w:cs="Arial"/>
          <w:color w:val="000000"/>
          <w:sz w:val="24"/>
        </w:rPr>
      </w:pPr>
      <w:r>
        <w:rPr>
          <w:rFonts w:ascii="Arial" w:hAnsi="Arial" w:cs="Arial"/>
          <w:color w:val="000000"/>
          <w:sz w:val="24"/>
        </w:rPr>
        <w:t>“社保费征收系统开发项目”建设边界为征收子系统的开发和上线，以及相关数据迁移、联调测试、数据交接等工作，还包含辽宁本地特色业务改造优化内容。征收子系统完成社保费的征收管理，包括银行账户信息采集、三方协议采集及验证、缴费、退费、缓缴、对账等业务，并完成对社保费未及时足额缴纳等违法行为的相关处理。对接特色软件完成社保费缴纳业务。</w:t>
      </w:r>
    </w:p>
    <w:p>
      <w:pPr>
        <w:numPr>
          <w:ilvl w:val="0"/>
          <w:numId w:val="2"/>
        </w:numPr>
        <w:suppressAutoHyphens/>
        <w:spacing w:line="360" w:lineRule="auto"/>
        <w:ind w:left="840" w:hanging="414"/>
        <w:rPr>
          <w:rFonts w:ascii="Arial" w:hAnsi="Arial" w:cs="Arial"/>
          <w:color w:val="000000"/>
          <w:sz w:val="24"/>
        </w:rPr>
      </w:pPr>
      <w:r>
        <w:rPr>
          <w:rFonts w:ascii="Arial" w:hAnsi="Arial" w:cs="Arial"/>
          <w:color w:val="000000"/>
          <w:sz w:val="24"/>
        </w:rPr>
        <w:t>确保业务工作门户平台实施成功</w:t>
      </w:r>
    </w:p>
    <w:p>
      <w:pPr>
        <w:suppressAutoHyphens/>
        <w:spacing w:line="360" w:lineRule="auto"/>
        <w:ind w:firstLine="480" w:firstLineChars="200"/>
        <w:rPr>
          <w:rFonts w:ascii="Arial" w:hAnsi="Arial" w:cs="Arial"/>
          <w:color w:val="000000"/>
          <w:sz w:val="24"/>
        </w:rPr>
      </w:pPr>
      <w:r>
        <w:rPr>
          <w:rFonts w:ascii="Arial" w:hAnsi="Arial" w:cs="Arial"/>
          <w:color w:val="000000"/>
          <w:sz w:val="24"/>
        </w:rPr>
        <w:t>业务工作门户平台是金三社保费征收子系统的重要组成部分，社保费业务工作门户平台，为社保费征管信息系统（标准版）提供统一的单点登录、统一的操作界面、统一的待办事宜、统一的消息管理等功能。社保费业务工作门户平台，利用社保费业务框架和相关标准，将社保费管理子系统、社保费征收系统、信息共享平台（税务端）等系统进行页面级的整合，形成一个统一的界面视图，为最终用户提供所有税务业务系统的统一入口。</w:t>
      </w:r>
    </w:p>
    <w:p>
      <w:pPr>
        <w:numPr>
          <w:ilvl w:val="0"/>
          <w:numId w:val="2"/>
        </w:numPr>
        <w:suppressAutoHyphens/>
        <w:spacing w:line="360" w:lineRule="auto"/>
        <w:ind w:left="840" w:hanging="414"/>
        <w:rPr>
          <w:rFonts w:ascii="Arial" w:hAnsi="Arial" w:cs="Arial"/>
          <w:color w:val="000000"/>
          <w:sz w:val="24"/>
        </w:rPr>
      </w:pPr>
      <w:r>
        <w:rPr>
          <w:rFonts w:ascii="Arial" w:hAnsi="Arial" w:cs="Arial"/>
          <w:color w:val="000000"/>
          <w:sz w:val="24"/>
        </w:rPr>
        <w:t>确保跨层级数据交换实施成功</w:t>
      </w:r>
    </w:p>
    <w:p>
      <w:pPr>
        <w:suppressAutoHyphens/>
        <w:spacing w:line="360" w:lineRule="auto"/>
        <w:ind w:firstLine="480" w:firstLineChars="200"/>
        <w:rPr>
          <w:rFonts w:ascii="Arial" w:hAnsi="Arial" w:cs="Arial"/>
          <w:color w:val="000000"/>
          <w:sz w:val="24"/>
        </w:rPr>
      </w:pPr>
      <w:r>
        <w:rPr>
          <w:rFonts w:ascii="Arial" w:hAnsi="Arial" w:cs="Arial"/>
          <w:color w:val="000000"/>
          <w:sz w:val="24"/>
        </w:rPr>
        <w:t>建设社保费跨层级数据交换平台，搭建一个稳定、高效的跨层级数据交换平台，实现总局、省局应用系统之间的数据集成工作；建设跨层级数据交换平台，设计符合省级应用集中模式下的跨层级数据交换平台，满足省级应用集中下的调整与优化；提供一套统一的跨层级数据交换规范，建立应用系统接入跨层级数据交换平台以及平台之间进行数据交换的标准；提供总局和省局系统之间系统进行跨层级数据交换的方案，整合接入不同应用系统。</w:t>
      </w:r>
    </w:p>
    <w:p>
      <w:pPr>
        <w:suppressAutoHyphens/>
        <w:spacing w:line="360" w:lineRule="auto"/>
        <w:ind w:firstLine="480" w:firstLineChars="200"/>
        <w:rPr>
          <w:rFonts w:ascii="Arial" w:hAnsi="Arial" w:cs="Arial"/>
          <w:color w:val="000000"/>
          <w:sz w:val="24"/>
        </w:rPr>
      </w:pPr>
      <w:r>
        <w:rPr>
          <w:rFonts w:ascii="Arial" w:hAnsi="Arial" w:cs="Arial"/>
          <w:color w:val="000000"/>
          <w:sz w:val="24"/>
        </w:rPr>
        <w:t>系统建设要以满足信息化工作的业务需求为首要目标，采用稳定可靠的成熟技术，保证系统长期安全运行。系统应用后，确保能为各级业务和管理节点提供一个智能化的网络信息环境，以提高管理水平和工作的效率。</w:t>
      </w:r>
    </w:p>
    <w:p>
      <w:pPr>
        <w:suppressAutoHyphens/>
        <w:spacing w:line="360" w:lineRule="auto"/>
        <w:ind w:firstLine="480" w:firstLineChars="200"/>
        <w:rPr>
          <w:rFonts w:ascii="Arial" w:hAnsi="Arial" w:cs="Arial"/>
          <w:color w:val="000000"/>
          <w:sz w:val="24"/>
        </w:rPr>
      </w:pPr>
      <w:r>
        <w:rPr>
          <w:rFonts w:ascii="Arial" w:hAnsi="Arial" w:cs="Arial"/>
          <w:color w:val="000000"/>
          <w:sz w:val="24"/>
        </w:rPr>
        <w:t>负责社保费征收子系统：包括统一工作平台、社保费征收子系统、集成平台（内部）、集成平台跨层（osb）、工作流预生产、生产环境和预生产环境应用和数据库的部署、调试；应用系统的联调性测试及压力测试。</w:t>
      </w:r>
    </w:p>
    <w:p>
      <w:pPr>
        <w:numPr>
          <w:ilvl w:val="0"/>
          <w:numId w:val="2"/>
        </w:numPr>
        <w:suppressAutoHyphens/>
        <w:spacing w:line="360" w:lineRule="auto"/>
        <w:ind w:left="840" w:hanging="414"/>
        <w:rPr>
          <w:rFonts w:ascii="Arial" w:hAnsi="Arial" w:cs="Arial"/>
          <w:color w:val="000000"/>
          <w:sz w:val="24"/>
        </w:rPr>
      </w:pPr>
      <w:r>
        <w:rPr>
          <w:rFonts w:ascii="Arial" w:hAnsi="Arial" w:cs="Arial"/>
          <w:color w:val="000000"/>
          <w:sz w:val="24"/>
        </w:rPr>
        <w:t>确保社保费应用集成平台（内部）实施成功</w:t>
      </w:r>
    </w:p>
    <w:p>
      <w:pPr>
        <w:suppressAutoHyphens/>
        <w:spacing w:line="360" w:lineRule="auto"/>
        <w:ind w:firstLine="480" w:firstLineChars="200"/>
        <w:rPr>
          <w:rFonts w:ascii="Arial" w:hAnsi="Arial" w:cs="Arial"/>
          <w:color w:val="000000"/>
          <w:sz w:val="24"/>
        </w:rPr>
      </w:pPr>
      <w:r>
        <w:rPr>
          <w:rFonts w:ascii="Arial" w:hAnsi="Arial" w:cs="Arial"/>
          <w:color w:val="000000"/>
          <w:sz w:val="24"/>
        </w:rPr>
        <w:t>社保费应用集成平台（内部），主要承担金税三期社保费征管信息系统（标准）各应用系统间的应用集成支撑。社保费管理子系统申报后通过社保费应用集成平台（内部）将应缴数据交互到社保费征收系统中进行征收、开票；社保费征收系统通过社保费应用集成平台（内部）同税库银系统进行交互，完成扣款。</w:t>
      </w:r>
    </w:p>
    <w:p>
      <w:pPr>
        <w:numPr>
          <w:ilvl w:val="0"/>
          <w:numId w:val="2"/>
        </w:numPr>
        <w:suppressAutoHyphens/>
        <w:spacing w:line="360" w:lineRule="auto"/>
        <w:ind w:left="840" w:hanging="414"/>
        <w:rPr>
          <w:rFonts w:ascii="Arial" w:hAnsi="Arial" w:cs="Arial"/>
          <w:color w:val="000000"/>
          <w:sz w:val="24"/>
        </w:rPr>
      </w:pPr>
      <w:r>
        <w:rPr>
          <w:rFonts w:ascii="Arial" w:hAnsi="Arial" w:cs="Arial"/>
          <w:color w:val="000000"/>
          <w:sz w:val="24"/>
        </w:rPr>
        <w:t>确保社保费应用集成平台（渠道）实施成功</w:t>
      </w:r>
    </w:p>
    <w:p>
      <w:pPr>
        <w:suppressAutoHyphens/>
        <w:spacing w:line="360" w:lineRule="auto"/>
        <w:ind w:firstLine="480" w:firstLineChars="200"/>
        <w:rPr>
          <w:rFonts w:ascii="Arial" w:hAnsi="Arial" w:cs="Arial"/>
          <w:color w:val="000000"/>
          <w:sz w:val="24"/>
        </w:rPr>
      </w:pPr>
      <w:r>
        <w:rPr>
          <w:rFonts w:ascii="Arial" w:hAnsi="Arial" w:cs="Arial"/>
          <w:color w:val="000000"/>
          <w:sz w:val="24"/>
        </w:rPr>
        <w:t>社保费应用集成平台（渠道），主要承担各上线单位本地特色软件接入到金税三期社保费征管信息系统（标准版）的应用集成支撑。社保费管理子系统和社保费征收系统开放的标准服务，依托社保费应用集成平台（渠道）对外提供。各省特色软件通过社保费应用集成平台（渠道）同社保费征收系统和社保费管理子系统进行业务和数据交互。</w:t>
      </w:r>
    </w:p>
    <w:p>
      <w:pPr>
        <w:numPr>
          <w:ilvl w:val="0"/>
          <w:numId w:val="2"/>
        </w:numPr>
        <w:suppressAutoHyphens/>
        <w:spacing w:line="360" w:lineRule="auto"/>
        <w:ind w:left="840" w:hanging="414"/>
        <w:rPr>
          <w:rFonts w:ascii="Arial" w:hAnsi="Arial" w:cs="Arial"/>
          <w:color w:val="000000"/>
          <w:sz w:val="24"/>
        </w:rPr>
      </w:pPr>
      <w:r>
        <w:rPr>
          <w:rFonts w:ascii="Arial" w:hAnsi="Arial" w:cs="Arial"/>
          <w:color w:val="000000"/>
          <w:sz w:val="24"/>
        </w:rPr>
        <w:t>确保社保费征收查询子系统实施成功</w:t>
      </w:r>
    </w:p>
    <w:p>
      <w:pPr>
        <w:suppressAutoHyphens/>
        <w:spacing w:line="360" w:lineRule="auto"/>
        <w:ind w:firstLine="480"/>
        <w:rPr>
          <w:rFonts w:ascii="Arial" w:hAnsi="Arial" w:cs="Arial"/>
          <w:color w:val="000000"/>
          <w:sz w:val="24"/>
        </w:rPr>
      </w:pPr>
      <w:r>
        <w:rPr>
          <w:rFonts w:ascii="Arial" w:hAnsi="Arial" w:cs="Arial"/>
          <w:color w:val="000000"/>
          <w:sz w:val="24"/>
        </w:rPr>
        <w:t>社保费征收查询子系统，主要实现社保费征收、退费、三方协议签订相关查询分析。是金三社保费征收子系统的重要组成部分，需按照总局的总体时间要求，完成数据库初始化、应用程序部署，并完成要完成系统关联性联调工作。</w:t>
      </w:r>
    </w:p>
    <w:p>
      <w:pPr>
        <w:suppressAutoHyphens/>
        <w:spacing w:line="360" w:lineRule="auto"/>
        <w:ind w:firstLine="480" w:firstLineChars="200"/>
        <w:rPr>
          <w:rFonts w:ascii="Arial" w:hAnsi="Arial" w:cs="Arial"/>
          <w:color w:val="000000"/>
          <w:sz w:val="24"/>
        </w:rPr>
      </w:pPr>
      <w:r>
        <w:rPr>
          <w:rFonts w:ascii="Arial" w:hAnsi="Arial" w:cs="Arial"/>
          <w:color w:val="000000"/>
          <w:sz w:val="24"/>
        </w:rPr>
        <w:t>二、投标/响应要求</w:t>
      </w:r>
    </w:p>
    <w:p>
      <w:pPr>
        <w:suppressAutoHyphens/>
        <w:spacing w:line="360" w:lineRule="auto"/>
        <w:ind w:firstLine="480"/>
        <w:rPr>
          <w:rFonts w:ascii="Arial" w:hAnsi="Arial" w:cs="Arial"/>
          <w:color w:val="auto"/>
          <w:sz w:val="24"/>
        </w:rPr>
      </w:pPr>
      <w:r>
        <w:rPr>
          <w:rFonts w:ascii="Arial" w:hAnsi="Arial" w:cs="Arial"/>
          <w:color w:val="auto"/>
          <w:sz w:val="24"/>
        </w:rPr>
        <w:t>1、投标方案总体改造开发设计、建设方案等详细阐述系统的体系架构、功能模块、实现思路和关键技术，投标方案对需求理解好，与需求的吻合性好，方案科学合理、安全严密、具有较强的前瞻性；</w:t>
      </w:r>
    </w:p>
    <w:p>
      <w:pPr>
        <w:suppressAutoHyphens/>
        <w:spacing w:line="360" w:lineRule="auto"/>
        <w:ind w:firstLine="480"/>
        <w:rPr>
          <w:rFonts w:ascii="Arial" w:hAnsi="Arial" w:cs="Arial"/>
          <w:color w:val="auto"/>
          <w:sz w:val="24"/>
        </w:rPr>
      </w:pPr>
      <w:r>
        <w:rPr>
          <w:rFonts w:ascii="Arial" w:hAnsi="Arial" w:cs="Arial"/>
          <w:color w:val="auto"/>
          <w:sz w:val="24"/>
        </w:rPr>
        <w:t>2、总体改造开发实施方案具有完善可行的项目实施计划、进度管理、质量保证、测试验收方案；</w:t>
      </w:r>
    </w:p>
    <w:p>
      <w:pPr>
        <w:suppressAutoHyphens/>
        <w:spacing w:line="360" w:lineRule="auto"/>
        <w:ind w:firstLine="480"/>
        <w:rPr>
          <w:rFonts w:ascii="Arial" w:hAnsi="Arial" w:cs="Arial"/>
          <w:color w:val="auto"/>
          <w:sz w:val="24"/>
        </w:rPr>
      </w:pPr>
      <w:r>
        <w:rPr>
          <w:rFonts w:ascii="Arial" w:hAnsi="Arial" w:cs="Arial"/>
          <w:color w:val="auto"/>
          <w:sz w:val="24"/>
        </w:rPr>
        <w:t xml:space="preserve">3、能够提供全面且合理的质量保证体系、质量控制体系、质量保障措施； </w:t>
      </w:r>
    </w:p>
    <w:p>
      <w:pPr>
        <w:suppressAutoHyphens/>
        <w:spacing w:line="360" w:lineRule="auto"/>
        <w:ind w:firstLine="480"/>
        <w:rPr>
          <w:rFonts w:ascii="Arial" w:hAnsi="Arial" w:cs="Arial"/>
          <w:color w:val="auto"/>
          <w:sz w:val="24"/>
        </w:rPr>
      </w:pPr>
      <w:r>
        <w:rPr>
          <w:rFonts w:ascii="Arial" w:hAnsi="Arial" w:cs="Arial"/>
          <w:color w:val="auto"/>
          <w:sz w:val="24"/>
        </w:rPr>
        <w:t>4、</w:t>
      </w:r>
      <w:r>
        <w:rPr>
          <w:rFonts w:hint="eastAsia" w:ascii="Arial" w:hAnsi="Arial" w:cs="Arial"/>
          <w:color w:val="auto"/>
          <w:szCs w:val="21"/>
          <w:lang w:eastAsia="zh-CN"/>
        </w:rPr>
        <w:t>在项目实施部署过程中，</w:t>
      </w:r>
      <w:r>
        <w:rPr>
          <w:rFonts w:ascii="Arial" w:hAnsi="Arial" w:cs="Arial"/>
          <w:color w:val="auto"/>
          <w:sz w:val="24"/>
        </w:rPr>
        <w:t>具备巡检方案，其中包括巡检周期、巡检流程、巡检内容、巡检报告等内容，全面且合理；</w:t>
      </w:r>
    </w:p>
    <w:p>
      <w:pPr>
        <w:suppressAutoHyphens/>
        <w:spacing w:line="360" w:lineRule="auto"/>
        <w:ind w:firstLine="480"/>
        <w:rPr>
          <w:rFonts w:ascii="Arial" w:hAnsi="Arial" w:cs="Arial"/>
          <w:color w:val="auto"/>
          <w:sz w:val="24"/>
        </w:rPr>
      </w:pPr>
      <w:r>
        <w:rPr>
          <w:rFonts w:ascii="Arial" w:hAnsi="Arial" w:cs="Arial"/>
          <w:color w:val="auto"/>
          <w:sz w:val="24"/>
        </w:rPr>
        <w:t>5、验收流程及标准规范，技术成果及档案归档要求齐全且清晰；</w:t>
      </w:r>
    </w:p>
    <w:p>
      <w:pPr>
        <w:suppressAutoHyphens/>
        <w:spacing w:line="360" w:lineRule="auto"/>
        <w:ind w:firstLine="480"/>
        <w:rPr>
          <w:rFonts w:ascii="Arial" w:hAnsi="Arial" w:cs="Arial"/>
          <w:color w:val="auto"/>
          <w:sz w:val="24"/>
        </w:rPr>
      </w:pPr>
      <w:r>
        <w:rPr>
          <w:rFonts w:ascii="Arial" w:hAnsi="Arial" w:cs="Arial"/>
          <w:color w:val="auto"/>
          <w:sz w:val="24"/>
        </w:rPr>
        <w:t>6、培训组织完善，师资力量雄厚，培训教材及实施过程中所涉及的知识、技能、经验转移情况等内容丰富；</w:t>
      </w:r>
    </w:p>
    <w:p>
      <w:pPr>
        <w:suppressAutoHyphens/>
        <w:spacing w:line="360" w:lineRule="auto"/>
        <w:ind w:firstLine="480"/>
        <w:rPr>
          <w:rFonts w:ascii="Arial" w:hAnsi="Arial" w:cs="Arial"/>
          <w:color w:val="auto"/>
          <w:sz w:val="24"/>
        </w:rPr>
      </w:pPr>
      <w:r>
        <w:rPr>
          <w:rFonts w:ascii="Arial" w:hAnsi="Arial" w:cs="Arial"/>
          <w:color w:val="auto"/>
          <w:sz w:val="24"/>
        </w:rPr>
        <w:t>7、建立健全安全与保密制度，能够按照国家税务总局网络安全规定，承诺完成等保测评和定级备案工作；</w:t>
      </w:r>
    </w:p>
    <w:p>
      <w:pPr>
        <w:suppressAutoHyphens/>
        <w:spacing w:line="360" w:lineRule="auto"/>
        <w:ind w:firstLine="480" w:firstLineChars="200"/>
        <w:rPr>
          <w:rFonts w:ascii="Arial" w:hAnsi="Arial" w:cs="Arial"/>
          <w:color w:val="auto"/>
          <w:sz w:val="24"/>
        </w:rPr>
      </w:pPr>
      <w:r>
        <w:rPr>
          <w:rFonts w:ascii="Arial" w:hAnsi="Arial" w:cs="Arial"/>
          <w:color w:val="auto"/>
          <w:sz w:val="24"/>
        </w:rPr>
        <w:t>8、服务体系、服务团队、服务流程、服务规范等内容描述清晰、全面合理；</w:t>
      </w:r>
    </w:p>
    <w:p>
      <w:pPr>
        <w:suppressAutoHyphens/>
        <w:spacing w:line="360" w:lineRule="auto"/>
        <w:ind w:firstLine="480" w:firstLineChars="200"/>
        <w:rPr>
          <w:rFonts w:ascii="Arial" w:hAnsi="Arial" w:cs="Arial"/>
          <w:color w:val="auto"/>
          <w:sz w:val="24"/>
        </w:rPr>
      </w:pPr>
      <w:r>
        <w:rPr>
          <w:rFonts w:ascii="Arial" w:hAnsi="Arial" w:cs="Arial"/>
          <w:color w:val="auto"/>
          <w:sz w:val="24"/>
        </w:rPr>
        <w:t>9、事件级别定义、风险管理计划、应急处理策略、应急处理流程等内容分析准确，且所述内容全面合理；</w:t>
      </w:r>
    </w:p>
    <w:p>
      <w:pPr>
        <w:suppressAutoHyphens/>
        <w:spacing w:line="360" w:lineRule="auto"/>
        <w:ind w:firstLine="480" w:firstLineChars="200"/>
        <w:rPr>
          <w:rFonts w:ascii="Arial" w:hAnsi="Arial" w:cs="Arial"/>
          <w:color w:val="auto"/>
          <w:sz w:val="24"/>
        </w:rPr>
      </w:pPr>
      <w:r>
        <w:rPr>
          <w:rFonts w:ascii="Arial" w:hAnsi="Arial" w:cs="Arial"/>
          <w:color w:val="auto"/>
          <w:sz w:val="24"/>
        </w:rPr>
        <w:t>10、提供并清晰描述故障分析及处理流程（包含故障定义、故障分类、故障响应处理流程、软件故障的诊断和处理）等故障分析及处理方案，描述具有全面性、合理性</w:t>
      </w:r>
      <w:r>
        <w:rPr>
          <w:rFonts w:hint="eastAsia" w:ascii="Arial" w:hAnsi="Arial" w:cs="Arial"/>
          <w:color w:val="auto"/>
          <w:sz w:val="24"/>
        </w:rPr>
        <w:t>。</w:t>
      </w:r>
    </w:p>
    <w:p>
      <w:pPr>
        <w:suppressAutoHyphens/>
        <w:spacing w:line="360" w:lineRule="auto"/>
        <w:ind w:firstLine="480" w:firstLineChars="200"/>
        <w:rPr>
          <w:rFonts w:ascii="Arial" w:hAnsi="Arial" w:cs="Arial"/>
          <w:color w:val="000000"/>
          <w:sz w:val="24"/>
        </w:rPr>
      </w:pPr>
      <w:r>
        <w:rPr>
          <w:rFonts w:ascii="Arial" w:hAnsi="Arial" w:cs="Arial"/>
          <w:color w:val="000000"/>
          <w:sz w:val="24"/>
        </w:rPr>
        <w:t>三、项目需求</w:t>
      </w:r>
    </w:p>
    <w:p>
      <w:pPr>
        <w:numPr>
          <w:ilvl w:val="0"/>
          <w:numId w:val="3"/>
        </w:numPr>
        <w:suppressAutoHyphens/>
        <w:spacing w:line="360" w:lineRule="auto"/>
        <w:rPr>
          <w:rFonts w:ascii="Arial" w:hAnsi="Arial" w:cs="Arial"/>
          <w:color w:val="000000"/>
          <w:sz w:val="24"/>
        </w:rPr>
      </w:pPr>
      <w:r>
        <w:rPr>
          <w:rFonts w:ascii="Arial" w:hAnsi="Arial" w:cs="Arial"/>
          <w:color w:val="000000"/>
          <w:sz w:val="24"/>
        </w:rPr>
        <w:t xml:space="preserve"> 本地上线实施工作</w:t>
      </w:r>
    </w:p>
    <w:p>
      <w:pPr>
        <w:suppressAutoHyphens/>
        <w:spacing w:line="360" w:lineRule="auto"/>
        <w:ind w:firstLine="480" w:firstLineChars="200"/>
        <w:rPr>
          <w:rFonts w:ascii="Arial" w:hAnsi="Arial" w:cs="Arial"/>
          <w:color w:val="000000"/>
          <w:sz w:val="24"/>
        </w:rPr>
      </w:pPr>
      <w:r>
        <w:rPr>
          <w:rFonts w:ascii="Arial" w:hAnsi="Arial" w:cs="Arial"/>
          <w:color w:val="000000"/>
          <w:sz w:val="24"/>
        </w:rPr>
        <w:t>金税三期社保征管系统（标准版）征收子系统整体实施部署。</w:t>
      </w:r>
    </w:p>
    <w:p>
      <w:pPr>
        <w:numPr>
          <w:ilvl w:val="0"/>
          <w:numId w:val="3"/>
        </w:numPr>
        <w:suppressAutoHyphens/>
        <w:spacing w:line="360" w:lineRule="auto"/>
        <w:rPr>
          <w:rFonts w:ascii="Arial" w:hAnsi="Arial" w:cs="Arial"/>
          <w:color w:val="000000"/>
          <w:sz w:val="24"/>
        </w:rPr>
      </w:pPr>
      <w:r>
        <w:rPr>
          <w:rFonts w:ascii="Arial" w:hAnsi="Arial" w:cs="Arial"/>
          <w:color w:val="000000"/>
          <w:sz w:val="24"/>
        </w:rPr>
        <w:t>征收子系统建设工作</w:t>
      </w:r>
    </w:p>
    <w:p>
      <w:pPr>
        <w:suppressAutoHyphens/>
        <w:spacing w:line="360" w:lineRule="auto"/>
        <w:ind w:firstLine="480" w:firstLineChars="200"/>
        <w:rPr>
          <w:rFonts w:ascii="Arial" w:hAnsi="Arial" w:cs="Arial"/>
          <w:color w:val="000000"/>
          <w:sz w:val="24"/>
        </w:rPr>
      </w:pPr>
      <w:r>
        <w:rPr>
          <w:rFonts w:ascii="Arial" w:hAnsi="Arial" w:cs="Arial"/>
          <w:color w:val="000000"/>
          <w:sz w:val="24"/>
        </w:rPr>
        <w:t>要保证社保费征收工作正常进行。社保费征收系统的范围包括6个子系统，分别为：</w:t>
      </w:r>
    </w:p>
    <w:p>
      <w:pPr>
        <w:suppressAutoHyphens/>
        <w:spacing w:line="360" w:lineRule="auto"/>
        <w:ind w:firstLine="480" w:firstLineChars="200"/>
        <w:rPr>
          <w:rFonts w:ascii="Arial" w:hAnsi="Arial" w:cs="Arial"/>
          <w:color w:val="000000"/>
          <w:sz w:val="24"/>
        </w:rPr>
      </w:pPr>
      <w:r>
        <w:rPr>
          <w:rFonts w:ascii="Arial" w:hAnsi="Arial" w:cs="Arial"/>
          <w:color w:val="000000"/>
          <w:sz w:val="24"/>
        </w:rPr>
        <w:t>1、社保费征收系统</w:t>
      </w:r>
    </w:p>
    <w:p>
      <w:pPr>
        <w:suppressAutoHyphens/>
        <w:spacing w:line="360" w:lineRule="auto"/>
        <w:ind w:firstLine="480" w:firstLineChars="200"/>
        <w:rPr>
          <w:rFonts w:ascii="Arial" w:hAnsi="Arial" w:cs="Arial"/>
          <w:color w:val="000000"/>
          <w:sz w:val="24"/>
        </w:rPr>
      </w:pPr>
      <w:r>
        <w:rPr>
          <w:rFonts w:ascii="Arial" w:hAnsi="Arial" w:cs="Arial"/>
          <w:color w:val="000000"/>
          <w:sz w:val="24"/>
        </w:rPr>
        <w:t>金三社保费征收系统，指办理社保征收的业务生产系统，完成社保费的征收管理，包括银行账户信息采集、三方协议采集及验证、缴费、退费、缓缴、对账等业务，并完成对社保费未及时足额缴纳等违法行为的相关处理。对接特色软件完成社保费缴纳业务。</w:t>
      </w:r>
    </w:p>
    <w:p>
      <w:pPr>
        <w:suppressAutoHyphens/>
        <w:spacing w:line="360" w:lineRule="auto"/>
        <w:ind w:firstLine="480" w:firstLineChars="200"/>
        <w:rPr>
          <w:rFonts w:ascii="Arial" w:hAnsi="Arial" w:cs="Arial"/>
          <w:color w:val="000000"/>
          <w:sz w:val="24"/>
        </w:rPr>
      </w:pPr>
      <w:r>
        <w:rPr>
          <w:rFonts w:ascii="Arial" w:hAnsi="Arial" w:cs="Arial"/>
          <w:color w:val="000000"/>
          <w:sz w:val="24"/>
        </w:rPr>
        <w:t>具体包括社保费批扣清册确认设置、社保费批扣清册的生成、批扣清册查询、社保费单笔交易处理、社保费批量扣款、社保费票证补打、社保费票证重打、社保费一般征收开票、社保费票证作废、金库对账等等近百项功能用例。</w:t>
      </w:r>
    </w:p>
    <w:p>
      <w:pPr>
        <w:suppressAutoHyphens/>
        <w:spacing w:line="360" w:lineRule="auto"/>
        <w:ind w:firstLine="480"/>
        <w:rPr>
          <w:rFonts w:ascii="Arial" w:hAnsi="Arial" w:cs="Arial"/>
          <w:color w:val="000000"/>
          <w:sz w:val="24"/>
        </w:rPr>
      </w:pPr>
      <w:r>
        <w:rPr>
          <w:rFonts w:ascii="Arial" w:hAnsi="Arial" w:cs="Arial"/>
          <w:color w:val="000000"/>
          <w:sz w:val="24"/>
        </w:rPr>
        <w:t>2、社保费应用集成平台（内部）</w:t>
      </w:r>
    </w:p>
    <w:p>
      <w:pPr>
        <w:suppressAutoHyphens/>
        <w:spacing w:line="360" w:lineRule="auto"/>
        <w:ind w:firstLine="480"/>
        <w:rPr>
          <w:rFonts w:ascii="Arial" w:hAnsi="Arial" w:cs="Arial"/>
          <w:color w:val="000000"/>
          <w:sz w:val="24"/>
        </w:rPr>
      </w:pPr>
      <w:r>
        <w:rPr>
          <w:rFonts w:ascii="Arial" w:hAnsi="Arial" w:cs="Arial"/>
          <w:color w:val="000000"/>
          <w:sz w:val="24"/>
        </w:rPr>
        <w:t>社保费应用集成平台（内部），主要承担金税三期社保费征管信息系统（标准版）各应用系统间的应用集成支撑。</w:t>
      </w:r>
    </w:p>
    <w:p>
      <w:pPr>
        <w:suppressAutoHyphens/>
        <w:spacing w:line="360" w:lineRule="auto"/>
        <w:ind w:firstLine="480"/>
        <w:rPr>
          <w:rFonts w:ascii="Arial" w:hAnsi="Arial" w:cs="Arial"/>
          <w:color w:val="000000"/>
          <w:sz w:val="24"/>
        </w:rPr>
      </w:pPr>
      <w:r>
        <w:rPr>
          <w:rFonts w:ascii="Arial" w:hAnsi="Arial" w:cs="Arial"/>
          <w:color w:val="000000"/>
          <w:sz w:val="24"/>
        </w:rPr>
        <w:t>社保费管理子系统申报后通过社保费应用集成平台（内部）将应缴数据交互到社保费征收系统中进行征收、开票；社保费征收系统通过社保费应用集成平台（内部）同税库银系统进行交互，完成扣款。</w:t>
      </w:r>
    </w:p>
    <w:p>
      <w:pPr>
        <w:suppressAutoHyphens/>
        <w:spacing w:line="360" w:lineRule="auto"/>
        <w:ind w:firstLine="480"/>
        <w:rPr>
          <w:rFonts w:ascii="Arial" w:hAnsi="Arial" w:cs="Arial"/>
          <w:color w:val="000000"/>
          <w:sz w:val="24"/>
        </w:rPr>
      </w:pPr>
      <w:r>
        <w:rPr>
          <w:rFonts w:ascii="Arial" w:hAnsi="Arial" w:cs="Arial"/>
          <w:color w:val="000000"/>
          <w:sz w:val="24"/>
        </w:rPr>
        <w:t>社保费应用集成平台（内部）实现了平台与业务逻辑的解耦，业务逻辑变化和部署不影响平台。</w:t>
      </w:r>
    </w:p>
    <w:p>
      <w:pPr>
        <w:suppressAutoHyphens/>
        <w:spacing w:line="360" w:lineRule="auto"/>
        <w:ind w:firstLine="480"/>
        <w:rPr>
          <w:rFonts w:ascii="Arial" w:hAnsi="Arial" w:cs="Arial"/>
          <w:color w:val="000000"/>
          <w:sz w:val="24"/>
        </w:rPr>
      </w:pPr>
      <w:r>
        <w:rPr>
          <w:rFonts w:ascii="Arial" w:hAnsi="Arial" w:cs="Arial"/>
          <w:color w:val="000000"/>
          <w:sz w:val="24"/>
        </w:rPr>
        <w:t>3、社保费应用集成平台（渠道）</w:t>
      </w:r>
    </w:p>
    <w:p>
      <w:pPr>
        <w:suppressAutoHyphens/>
        <w:spacing w:line="360" w:lineRule="auto"/>
        <w:ind w:firstLine="480" w:firstLineChars="200"/>
        <w:rPr>
          <w:rFonts w:ascii="Arial" w:hAnsi="Arial" w:cs="Arial"/>
          <w:color w:val="000000"/>
          <w:sz w:val="24"/>
        </w:rPr>
      </w:pPr>
      <w:r>
        <w:rPr>
          <w:rFonts w:ascii="Arial" w:hAnsi="Arial" w:cs="Arial"/>
          <w:color w:val="000000"/>
          <w:sz w:val="24"/>
        </w:rPr>
        <w:t>社保费应用集成平台（渠道），主要承担各上线单位本地特色软件接入到金税三期社保费征管信息系统（标准版）的应用集成支撑。社保费管理子系统和社保费征收系统开放的标准服务，依托社保费应用集成平台（渠道）对外提供。各省特色软件通过社保费应用集成平台（渠道）同社保费征收系统和社保费管理子系统进行业务和数据交互。</w:t>
      </w:r>
    </w:p>
    <w:p>
      <w:pPr>
        <w:suppressAutoHyphens/>
        <w:spacing w:line="360" w:lineRule="auto"/>
        <w:ind w:firstLine="480"/>
        <w:rPr>
          <w:rFonts w:ascii="Arial" w:hAnsi="Arial" w:cs="Arial"/>
          <w:color w:val="000000"/>
          <w:sz w:val="24"/>
        </w:rPr>
      </w:pPr>
      <w:r>
        <w:rPr>
          <w:rFonts w:ascii="Arial" w:hAnsi="Arial" w:cs="Arial"/>
          <w:color w:val="000000"/>
          <w:sz w:val="24"/>
        </w:rPr>
        <w:t>社保费应用集成平台（渠道）实现了平台与业务逻辑的解耦，业务逻辑变化和部署不影响平台。通过开放的标准服务，为各上线单位的本地特色软件提供统一和高效的业务支撑和数据交互。</w:t>
      </w:r>
    </w:p>
    <w:p>
      <w:pPr>
        <w:suppressAutoHyphens/>
        <w:spacing w:line="360" w:lineRule="auto"/>
        <w:ind w:firstLine="480"/>
        <w:rPr>
          <w:rFonts w:ascii="Arial" w:hAnsi="Arial" w:cs="Arial"/>
          <w:color w:val="000000"/>
          <w:sz w:val="24"/>
        </w:rPr>
      </w:pPr>
      <w:r>
        <w:rPr>
          <w:rFonts w:ascii="Arial" w:hAnsi="Arial" w:cs="Arial"/>
          <w:color w:val="000000"/>
          <w:sz w:val="24"/>
        </w:rPr>
        <w:t>4、社保费征收查询子系统</w:t>
      </w:r>
    </w:p>
    <w:p>
      <w:pPr>
        <w:suppressAutoHyphens/>
        <w:spacing w:line="360" w:lineRule="auto"/>
        <w:ind w:firstLine="480"/>
        <w:rPr>
          <w:rFonts w:ascii="Arial" w:hAnsi="Arial" w:cs="Arial"/>
          <w:color w:val="000000"/>
          <w:sz w:val="24"/>
        </w:rPr>
      </w:pPr>
      <w:r>
        <w:rPr>
          <w:rFonts w:ascii="Arial" w:hAnsi="Arial" w:cs="Arial"/>
          <w:color w:val="000000"/>
          <w:sz w:val="24"/>
        </w:rPr>
        <w:t>社保费征收查询子系统，主要实现社保费征收、退费、三方协议签订相关查询分析。具体查询包括社保费催报清册查询、社保费存款账户账号（银行）信息查询、社保费税款开票查询、社保费入库查询、社保费征收税费明细清册、社保费税费欠缴明细清册、社保费退抵税（费）审批情况查询、社保费退抵税清册、社保费不予加收滞纳金查询等近四十项功能用例。</w:t>
      </w:r>
    </w:p>
    <w:p>
      <w:pPr>
        <w:suppressAutoHyphens/>
        <w:spacing w:line="360" w:lineRule="auto"/>
        <w:ind w:firstLine="480"/>
        <w:rPr>
          <w:rFonts w:ascii="Arial" w:hAnsi="Arial" w:cs="Arial"/>
          <w:color w:val="000000"/>
          <w:sz w:val="24"/>
        </w:rPr>
      </w:pPr>
      <w:r>
        <w:rPr>
          <w:rFonts w:ascii="Arial" w:hAnsi="Arial" w:cs="Arial"/>
          <w:color w:val="000000"/>
          <w:sz w:val="24"/>
        </w:rPr>
        <w:t>5、社保费业务工作门户平台</w:t>
      </w:r>
    </w:p>
    <w:p>
      <w:pPr>
        <w:suppressAutoHyphens/>
        <w:spacing w:line="360" w:lineRule="auto"/>
        <w:ind w:firstLine="480"/>
        <w:rPr>
          <w:rFonts w:ascii="Arial" w:hAnsi="Arial" w:cs="Arial"/>
          <w:color w:val="000000"/>
          <w:sz w:val="24"/>
        </w:rPr>
      </w:pPr>
      <w:r>
        <w:rPr>
          <w:rFonts w:ascii="Arial" w:hAnsi="Arial" w:cs="Arial"/>
          <w:color w:val="000000"/>
          <w:sz w:val="24"/>
        </w:rPr>
        <w:t>社保费业务工作门户平台，为社保费征管信息系统（标准版）提供统一的单点登录、统一的操作界面、统一的待办事宜、统一的消息管理等功能。社保费业务工作门户平台，利用社保费业务框架和相关标准，将社保费管理子系统、社保费征收系统、信息共享平台（税务端）等系统进行页面级的整合，形成一个统一的界面视图，为最终用户提供所有税务业务系统的统一入口。用户只需要一次登录就能够使用其在社保费征管信息系统（标准版）各应用系统中被授权的操作功能。用户在社保费业务工作门户平台中处理金税三期社保费征管信息系统（标准版）各应用系统的业务，接收待办任务，进行业务受理、业务审批和查询统计等操作。</w:t>
      </w:r>
    </w:p>
    <w:p>
      <w:pPr>
        <w:suppressAutoHyphens/>
        <w:spacing w:line="360" w:lineRule="auto"/>
        <w:ind w:firstLine="480"/>
        <w:rPr>
          <w:rFonts w:ascii="Arial" w:hAnsi="Arial" w:cs="Arial"/>
          <w:color w:val="000000"/>
          <w:sz w:val="24"/>
        </w:rPr>
      </w:pPr>
      <w:r>
        <w:rPr>
          <w:rFonts w:ascii="Arial" w:hAnsi="Arial" w:cs="Arial"/>
          <w:color w:val="000000"/>
          <w:sz w:val="24"/>
        </w:rPr>
        <w:t>6、社保费跨层级数据交换平台</w:t>
      </w:r>
    </w:p>
    <w:p>
      <w:pPr>
        <w:suppressAutoHyphens/>
        <w:spacing w:line="360" w:lineRule="auto"/>
        <w:ind w:firstLine="480"/>
        <w:rPr>
          <w:rFonts w:ascii="Arial" w:hAnsi="Arial" w:cs="Arial"/>
          <w:color w:val="000000"/>
          <w:sz w:val="24"/>
        </w:rPr>
      </w:pPr>
      <w:r>
        <w:rPr>
          <w:rFonts w:ascii="Arial" w:hAnsi="Arial" w:cs="Arial"/>
          <w:color w:val="000000"/>
          <w:sz w:val="24"/>
        </w:rPr>
        <w:t>建设社保费跨层级数据交换平台，搭建一个稳定、高效的跨层级数据交换平台，实现总局、省局应用系统之间的数据集成工作；建设跨层级数据交换平台，设计符合省级应用集中模式下的跨层级数据交换平台，满足省级应用集中下的调整与优化；提供一套统一的跨层级数据交换规范，建立应用系统接入跨层级数据交换平台以及平台之间进行数据交换的标准；提供总局和省局系统之间系统进行跨层级数据交换的方案，整合接入不同应用系统。</w:t>
      </w:r>
    </w:p>
    <w:p>
      <w:pPr>
        <w:suppressAutoHyphens/>
        <w:spacing w:line="360" w:lineRule="auto"/>
        <w:ind w:firstLine="480"/>
        <w:rPr>
          <w:rFonts w:ascii="Arial" w:hAnsi="Arial" w:cs="Arial"/>
          <w:color w:val="000000"/>
          <w:sz w:val="24"/>
        </w:rPr>
      </w:pPr>
      <w:r>
        <w:rPr>
          <w:rFonts w:ascii="Arial" w:hAnsi="Arial" w:cs="Arial"/>
          <w:color w:val="000000"/>
          <w:sz w:val="24"/>
        </w:rPr>
        <w:t>跨层级数据交换平台作为一个通用的技术平台，能够支撑社保费管理子系统、社保费征收系统、信息共享平台（税局端）、决策管理系统（一包）、决策管理系统（二包）、本省特色软件之间的数据集成。</w:t>
      </w:r>
    </w:p>
    <w:p>
      <w:pPr>
        <w:suppressAutoHyphens/>
        <w:spacing w:line="360" w:lineRule="auto"/>
        <w:ind w:firstLine="480"/>
        <w:rPr>
          <w:rFonts w:ascii="Arial" w:hAnsi="Arial" w:cs="Arial"/>
          <w:color w:val="000000"/>
          <w:sz w:val="24"/>
        </w:rPr>
      </w:pPr>
      <w:r>
        <w:rPr>
          <w:rFonts w:ascii="Arial" w:hAnsi="Arial" w:cs="Arial"/>
          <w:color w:val="000000"/>
          <w:sz w:val="24"/>
        </w:rPr>
        <w:t>跨层级数据交换平台，主要是两类数据交换工作的集成：一类是结构化数据交换，主要是数据库中的数据；一类是非结构化数据交换，主要是文件中的数据。</w:t>
      </w:r>
    </w:p>
    <w:p>
      <w:pPr>
        <w:suppressAutoHyphens/>
        <w:spacing w:line="360" w:lineRule="auto"/>
        <w:ind w:firstLine="482" w:firstLineChars="200"/>
        <w:rPr>
          <w:rFonts w:ascii="Arial" w:hAnsi="Arial" w:cs="Arial"/>
          <w:b/>
          <w:bCs/>
          <w:color w:val="000000"/>
          <w:sz w:val="24"/>
        </w:rPr>
      </w:pPr>
      <w:r>
        <w:rPr>
          <w:rFonts w:ascii="Arial" w:hAnsi="Arial" w:cs="Arial"/>
          <w:b/>
          <w:bCs/>
          <w:color w:val="000000"/>
          <w:sz w:val="24"/>
        </w:rPr>
        <w:t>总体建设工作</w:t>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07"/>
        <w:gridCol w:w="2164"/>
        <w:gridCol w:w="4385"/>
        <w:gridCol w:w="9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7" w:hRule="atLeast"/>
          <w:jc w:val="center"/>
        </w:trPr>
        <w:tc>
          <w:tcPr>
            <w:tcW w:w="1007" w:type="dxa"/>
            <w:vAlign w:val="center"/>
          </w:tcPr>
          <w:p>
            <w:pPr>
              <w:widowControl/>
              <w:overflowPunct w:val="0"/>
              <w:autoSpaceDE w:val="0"/>
              <w:autoSpaceDN w:val="0"/>
              <w:adjustRightInd w:val="0"/>
              <w:snapToGrid w:val="0"/>
              <w:jc w:val="center"/>
              <w:textAlignment w:val="baseline"/>
              <w:rPr>
                <w:rFonts w:ascii="Arial" w:hAnsi="Arial" w:cs="Arial"/>
                <w:kern w:val="0"/>
                <w:szCs w:val="21"/>
              </w:rPr>
            </w:pPr>
            <w:r>
              <w:rPr>
                <w:rFonts w:ascii="Arial" w:hAnsi="Arial" w:cs="Arial"/>
                <w:kern w:val="0"/>
                <w:szCs w:val="21"/>
              </w:rPr>
              <w:t>序号</w:t>
            </w:r>
          </w:p>
        </w:tc>
        <w:tc>
          <w:tcPr>
            <w:tcW w:w="2164" w:type="dxa"/>
            <w:vAlign w:val="center"/>
          </w:tcPr>
          <w:p>
            <w:pPr>
              <w:widowControl/>
              <w:overflowPunct w:val="0"/>
              <w:autoSpaceDE w:val="0"/>
              <w:autoSpaceDN w:val="0"/>
              <w:adjustRightInd w:val="0"/>
              <w:snapToGrid w:val="0"/>
              <w:jc w:val="center"/>
              <w:textAlignment w:val="baseline"/>
              <w:rPr>
                <w:rFonts w:ascii="Arial" w:hAnsi="Arial" w:cs="Arial"/>
                <w:kern w:val="0"/>
                <w:szCs w:val="21"/>
              </w:rPr>
            </w:pPr>
            <w:r>
              <w:rPr>
                <w:rFonts w:ascii="Arial" w:hAnsi="Arial" w:cs="Arial"/>
                <w:kern w:val="0"/>
                <w:szCs w:val="21"/>
              </w:rPr>
              <w:t>工作任务</w:t>
            </w:r>
          </w:p>
        </w:tc>
        <w:tc>
          <w:tcPr>
            <w:tcW w:w="4385" w:type="dxa"/>
            <w:vAlign w:val="center"/>
          </w:tcPr>
          <w:p>
            <w:pPr>
              <w:widowControl/>
              <w:overflowPunct w:val="0"/>
              <w:autoSpaceDE w:val="0"/>
              <w:autoSpaceDN w:val="0"/>
              <w:adjustRightInd w:val="0"/>
              <w:snapToGrid w:val="0"/>
              <w:jc w:val="center"/>
              <w:textAlignment w:val="baseline"/>
              <w:rPr>
                <w:rFonts w:ascii="Arial" w:hAnsi="Arial" w:cs="Arial"/>
                <w:kern w:val="0"/>
                <w:szCs w:val="21"/>
              </w:rPr>
            </w:pPr>
            <w:r>
              <w:rPr>
                <w:rFonts w:ascii="Arial" w:hAnsi="Arial" w:cs="Arial"/>
                <w:kern w:val="0"/>
                <w:szCs w:val="21"/>
              </w:rPr>
              <w:t>工作内容</w:t>
            </w:r>
          </w:p>
        </w:tc>
        <w:tc>
          <w:tcPr>
            <w:tcW w:w="966" w:type="dxa"/>
            <w:vAlign w:val="center"/>
          </w:tcPr>
          <w:p>
            <w:pPr>
              <w:widowControl/>
              <w:overflowPunct w:val="0"/>
              <w:autoSpaceDE w:val="0"/>
              <w:autoSpaceDN w:val="0"/>
              <w:adjustRightInd w:val="0"/>
              <w:snapToGrid w:val="0"/>
              <w:jc w:val="center"/>
              <w:textAlignment w:val="baseline"/>
              <w:rPr>
                <w:rFonts w:ascii="Arial" w:hAnsi="Arial" w:cs="Arial"/>
                <w:kern w:val="0"/>
                <w:szCs w:val="21"/>
              </w:rPr>
            </w:pPr>
            <w:r>
              <w:rPr>
                <w:rFonts w:ascii="Arial" w:hAnsi="Arial" w:cs="Arial"/>
                <w:kern w:val="0"/>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7" w:type="dxa"/>
            <w:vAlign w:val="center"/>
          </w:tcPr>
          <w:p>
            <w:pPr>
              <w:widowControl/>
              <w:overflowPunct w:val="0"/>
              <w:autoSpaceDE w:val="0"/>
              <w:autoSpaceDN w:val="0"/>
              <w:adjustRightInd w:val="0"/>
              <w:snapToGrid w:val="0"/>
              <w:jc w:val="center"/>
              <w:textAlignment w:val="baseline"/>
              <w:rPr>
                <w:rFonts w:ascii="Arial" w:hAnsi="Arial" w:cs="Arial"/>
                <w:kern w:val="0"/>
                <w:szCs w:val="21"/>
              </w:rPr>
            </w:pPr>
            <w:r>
              <w:rPr>
                <w:rFonts w:ascii="Arial" w:hAnsi="Arial" w:cs="Arial"/>
                <w:kern w:val="0"/>
                <w:szCs w:val="21"/>
              </w:rPr>
              <w:t>1</w:t>
            </w:r>
          </w:p>
        </w:tc>
        <w:tc>
          <w:tcPr>
            <w:tcW w:w="2164" w:type="dxa"/>
            <w:vAlign w:val="center"/>
          </w:tcPr>
          <w:p>
            <w:pPr>
              <w:widowControl/>
              <w:overflowPunct w:val="0"/>
              <w:autoSpaceDE w:val="0"/>
              <w:autoSpaceDN w:val="0"/>
              <w:adjustRightInd w:val="0"/>
              <w:snapToGrid w:val="0"/>
              <w:jc w:val="center"/>
              <w:textAlignment w:val="baseline"/>
              <w:rPr>
                <w:rFonts w:ascii="Arial" w:hAnsi="Arial" w:cs="Arial"/>
                <w:kern w:val="0"/>
                <w:szCs w:val="21"/>
              </w:rPr>
            </w:pPr>
            <w:r>
              <w:rPr>
                <w:rFonts w:ascii="Arial" w:hAnsi="Arial" w:cs="Arial"/>
                <w:kern w:val="0"/>
                <w:szCs w:val="21"/>
              </w:rPr>
              <w:t>项目实施方案</w:t>
            </w:r>
          </w:p>
        </w:tc>
        <w:tc>
          <w:tcPr>
            <w:tcW w:w="4385" w:type="dxa"/>
            <w:vAlign w:val="center"/>
          </w:tcPr>
          <w:p>
            <w:pPr>
              <w:widowControl/>
              <w:overflowPunct w:val="0"/>
              <w:autoSpaceDE w:val="0"/>
              <w:autoSpaceDN w:val="0"/>
              <w:adjustRightInd w:val="0"/>
              <w:snapToGrid w:val="0"/>
              <w:jc w:val="center"/>
              <w:textAlignment w:val="baseline"/>
              <w:rPr>
                <w:rFonts w:ascii="Arial" w:hAnsi="Arial" w:cs="Arial"/>
                <w:kern w:val="0"/>
                <w:szCs w:val="21"/>
              </w:rPr>
            </w:pPr>
            <w:r>
              <w:rPr>
                <w:rFonts w:ascii="Arial" w:hAnsi="Arial" w:cs="Arial"/>
                <w:kern w:val="0"/>
                <w:szCs w:val="21"/>
              </w:rPr>
              <w:t>组织制定实施总体方案，包括初始化工作、数据迁移、集成联调测试方案、环境部署方案等工作。组织整个过程的上线实施；</w:t>
            </w:r>
          </w:p>
        </w:tc>
        <w:tc>
          <w:tcPr>
            <w:tcW w:w="966" w:type="dxa"/>
            <w:vAlign w:val="center"/>
          </w:tcPr>
          <w:p>
            <w:pPr>
              <w:widowControl/>
              <w:overflowPunct w:val="0"/>
              <w:autoSpaceDE w:val="0"/>
              <w:autoSpaceDN w:val="0"/>
              <w:adjustRightInd w:val="0"/>
              <w:snapToGrid w:val="0"/>
              <w:ind w:firstLine="420" w:firstLineChars="200"/>
              <w:jc w:val="center"/>
              <w:textAlignment w:val="baseline"/>
              <w:rPr>
                <w:rFonts w:ascii="Arial" w:hAnsi="Arial" w:cs="Arial"/>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7" w:type="dxa"/>
            <w:vAlign w:val="center"/>
          </w:tcPr>
          <w:p>
            <w:pPr>
              <w:widowControl/>
              <w:overflowPunct w:val="0"/>
              <w:autoSpaceDE w:val="0"/>
              <w:autoSpaceDN w:val="0"/>
              <w:adjustRightInd w:val="0"/>
              <w:snapToGrid w:val="0"/>
              <w:jc w:val="center"/>
              <w:textAlignment w:val="baseline"/>
              <w:rPr>
                <w:rFonts w:ascii="Arial" w:hAnsi="Arial" w:cs="Arial"/>
                <w:kern w:val="0"/>
                <w:szCs w:val="21"/>
              </w:rPr>
            </w:pPr>
            <w:r>
              <w:rPr>
                <w:rFonts w:ascii="Arial" w:hAnsi="Arial" w:cs="Arial"/>
                <w:kern w:val="0"/>
                <w:szCs w:val="21"/>
              </w:rPr>
              <w:t>2</w:t>
            </w:r>
          </w:p>
        </w:tc>
        <w:tc>
          <w:tcPr>
            <w:tcW w:w="2164" w:type="dxa"/>
            <w:vAlign w:val="center"/>
          </w:tcPr>
          <w:p>
            <w:pPr>
              <w:widowControl/>
              <w:overflowPunct w:val="0"/>
              <w:autoSpaceDE w:val="0"/>
              <w:autoSpaceDN w:val="0"/>
              <w:adjustRightInd w:val="0"/>
              <w:snapToGrid w:val="0"/>
              <w:jc w:val="center"/>
              <w:textAlignment w:val="baseline"/>
              <w:rPr>
                <w:rFonts w:ascii="Arial" w:hAnsi="Arial" w:cs="Arial"/>
                <w:kern w:val="0"/>
                <w:szCs w:val="21"/>
              </w:rPr>
            </w:pPr>
            <w:r>
              <w:rPr>
                <w:rFonts w:ascii="Arial" w:hAnsi="Arial" w:cs="Arial"/>
                <w:kern w:val="0"/>
                <w:szCs w:val="21"/>
              </w:rPr>
              <w:t>业务差异分析服务</w:t>
            </w:r>
          </w:p>
        </w:tc>
        <w:tc>
          <w:tcPr>
            <w:tcW w:w="4385" w:type="dxa"/>
            <w:vAlign w:val="center"/>
          </w:tcPr>
          <w:p>
            <w:pPr>
              <w:widowControl/>
              <w:overflowPunct w:val="0"/>
              <w:autoSpaceDE w:val="0"/>
              <w:autoSpaceDN w:val="0"/>
              <w:adjustRightInd w:val="0"/>
              <w:snapToGrid w:val="0"/>
              <w:jc w:val="center"/>
              <w:textAlignment w:val="baseline"/>
              <w:rPr>
                <w:rFonts w:ascii="Arial" w:hAnsi="Arial" w:cs="Arial"/>
                <w:kern w:val="0"/>
                <w:szCs w:val="21"/>
              </w:rPr>
            </w:pPr>
            <w:r>
              <w:rPr>
                <w:rFonts w:ascii="Arial" w:hAnsi="Arial" w:cs="Arial"/>
                <w:kern w:val="0"/>
                <w:szCs w:val="21"/>
              </w:rPr>
              <w:t>与上线单位完成社保费征收业务需求差异分析、集成分析工作，形成差异分析报告及解决方案；</w:t>
            </w:r>
          </w:p>
        </w:tc>
        <w:tc>
          <w:tcPr>
            <w:tcW w:w="966" w:type="dxa"/>
            <w:vAlign w:val="center"/>
          </w:tcPr>
          <w:p>
            <w:pPr>
              <w:widowControl/>
              <w:overflowPunct w:val="0"/>
              <w:autoSpaceDE w:val="0"/>
              <w:autoSpaceDN w:val="0"/>
              <w:adjustRightInd w:val="0"/>
              <w:snapToGrid w:val="0"/>
              <w:ind w:firstLine="420" w:firstLineChars="200"/>
              <w:jc w:val="center"/>
              <w:textAlignment w:val="baseline"/>
              <w:rPr>
                <w:rFonts w:ascii="Arial" w:hAnsi="Arial" w:cs="Arial"/>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7" w:type="dxa"/>
            <w:vAlign w:val="center"/>
          </w:tcPr>
          <w:p>
            <w:pPr>
              <w:widowControl/>
              <w:overflowPunct w:val="0"/>
              <w:autoSpaceDE w:val="0"/>
              <w:autoSpaceDN w:val="0"/>
              <w:adjustRightInd w:val="0"/>
              <w:snapToGrid w:val="0"/>
              <w:jc w:val="center"/>
              <w:textAlignment w:val="baseline"/>
              <w:rPr>
                <w:rFonts w:ascii="Arial" w:hAnsi="Arial" w:cs="Arial"/>
                <w:kern w:val="0"/>
                <w:szCs w:val="21"/>
              </w:rPr>
            </w:pPr>
            <w:r>
              <w:rPr>
                <w:rFonts w:ascii="Arial" w:hAnsi="Arial" w:cs="Arial"/>
                <w:kern w:val="0"/>
                <w:szCs w:val="21"/>
              </w:rPr>
              <w:t>3</w:t>
            </w:r>
          </w:p>
        </w:tc>
        <w:tc>
          <w:tcPr>
            <w:tcW w:w="2164" w:type="dxa"/>
            <w:vAlign w:val="center"/>
          </w:tcPr>
          <w:p>
            <w:pPr>
              <w:widowControl/>
              <w:overflowPunct w:val="0"/>
              <w:autoSpaceDE w:val="0"/>
              <w:autoSpaceDN w:val="0"/>
              <w:adjustRightInd w:val="0"/>
              <w:snapToGrid w:val="0"/>
              <w:jc w:val="center"/>
              <w:textAlignment w:val="baseline"/>
              <w:rPr>
                <w:rFonts w:ascii="Arial" w:hAnsi="Arial" w:cs="Arial"/>
                <w:kern w:val="0"/>
                <w:szCs w:val="21"/>
              </w:rPr>
            </w:pPr>
            <w:r>
              <w:rPr>
                <w:rFonts w:ascii="Arial" w:hAnsi="Arial" w:cs="Arial"/>
                <w:kern w:val="0"/>
                <w:szCs w:val="21"/>
              </w:rPr>
              <w:t>环境部署服务</w:t>
            </w:r>
          </w:p>
        </w:tc>
        <w:tc>
          <w:tcPr>
            <w:tcW w:w="4385" w:type="dxa"/>
            <w:vAlign w:val="center"/>
          </w:tcPr>
          <w:p>
            <w:pPr>
              <w:widowControl/>
              <w:overflowPunct w:val="0"/>
              <w:autoSpaceDE w:val="0"/>
              <w:autoSpaceDN w:val="0"/>
              <w:adjustRightInd w:val="0"/>
              <w:snapToGrid w:val="0"/>
              <w:jc w:val="center"/>
              <w:textAlignment w:val="baseline"/>
              <w:rPr>
                <w:rFonts w:ascii="Arial" w:hAnsi="Arial" w:cs="Arial"/>
                <w:kern w:val="0"/>
                <w:szCs w:val="21"/>
              </w:rPr>
            </w:pPr>
            <w:r>
              <w:rPr>
                <w:rFonts w:ascii="Arial" w:hAnsi="Arial" w:cs="Arial"/>
                <w:kern w:val="0"/>
                <w:szCs w:val="21"/>
              </w:rPr>
              <w:t>包括社保费征收子系统、集成平台、集成平台跨层、征收子系统查询、门户平台、工作流等预生产、生产环境应用和数据库的部署、调试；应用系统的联调性测试及压力测试；</w:t>
            </w:r>
          </w:p>
        </w:tc>
        <w:tc>
          <w:tcPr>
            <w:tcW w:w="966" w:type="dxa"/>
            <w:vAlign w:val="center"/>
          </w:tcPr>
          <w:p>
            <w:pPr>
              <w:widowControl/>
              <w:overflowPunct w:val="0"/>
              <w:autoSpaceDE w:val="0"/>
              <w:autoSpaceDN w:val="0"/>
              <w:adjustRightInd w:val="0"/>
              <w:snapToGrid w:val="0"/>
              <w:ind w:firstLine="420" w:firstLineChars="200"/>
              <w:jc w:val="center"/>
              <w:textAlignment w:val="baseline"/>
              <w:rPr>
                <w:rFonts w:ascii="Arial" w:hAnsi="Arial" w:cs="Arial"/>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7" w:type="dxa"/>
            <w:vAlign w:val="center"/>
          </w:tcPr>
          <w:p>
            <w:pPr>
              <w:widowControl/>
              <w:overflowPunct w:val="0"/>
              <w:autoSpaceDE w:val="0"/>
              <w:autoSpaceDN w:val="0"/>
              <w:adjustRightInd w:val="0"/>
              <w:snapToGrid w:val="0"/>
              <w:jc w:val="center"/>
              <w:textAlignment w:val="baseline"/>
              <w:rPr>
                <w:rFonts w:ascii="Arial" w:hAnsi="Arial" w:cs="Arial"/>
                <w:kern w:val="0"/>
                <w:szCs w:val="21"/>
              </w:rPr>
            </w:pPr>
            <w:r>
              <w:rPr>
                <w:rFonts w:ascii="Arial" w:hAnsi="Arial" w:cs="Arial"/>
                <w:kern w:val="0"/>
                <w:szCs w:val="21"/>
              </w:rPr>
              <w:t>4</w:t>
            </w:r>
          </w:p>
        </w:tc>
        <w:tc>
          <w:tcPr>
            <w:tcW w:w="2164" w:type="dxa"/>
            <w:vAlign w:val="center"/>
          </w:tcPr>
          <w:p>
            <w:pPr>
              <w:widowControl/>
              <w:overflowPunct w:val="0"/>
              <w:autoSpaceDE w:val="0"/>
              <w:autoSpaceDN w:val="0"/>
              <w:adjustRightInd w:val="0"/>
              <w:snapToGrid w:val="0"/>
              <w:jc w:val="center"/>
              <w:textAlignment w:val="baseline"/>
              <w:rPr>
                <w:rFonts w:ascii="Arial" w:hAnsi="Arial" w:cs="Arial"/>
                <w:kern w:val="0"/>
                <w:szCs w:val="21"/>
              </w:rPr>
            </w:pPr>
            <w:r>
              <w:rPr>
                <w:rFonts w:ascii="Arial" w:hAnsi="Arial" w:cs="Arial"/>
                <w:kern w:val="0"/>
                <w:szCs w:val="21"/>
              </w:rPr>
              <w:t>初始化服务</w:t>
            </w:r>
          </w:p>
        </w:tc>
        <w:tc>
          <w:tcPr>
            <w:tcW w:w="4385" w:type="dxa"/>
            <w:vAlign w:val="center"/>
          </w:tcPr>
          <w:p>
            <w:pPr>
              <w:widowControl/>
              <w:overflowPunct w:val="0"/>
              <w:autoSpaceDE w:val="0"/>
              <w:autoSpaceDN w:val="0"/>
              <w:adjustRightInd w:val="0"/>
              <w:snapToGrid w:val="0"/>
              <w:jc w:val="center"/>
              <w:textAlignment w:val="baseline"/>
              <w:rPr>
                <w:rFonts w:ascii="Arial" w:hAnsi="Arial" w:cs="Arial"/>
                <w:kern w:val="0"/>
                <w:szCs w:val="21"/>
              </w:rPr>
            </w:pPr>
            <w:r>
              <w:rPr>
                <w:rFonts w:ascii="Arial" w:hAnsi="Arial" w:cs="Arial"/>
                <w:kern w:val="0"/>
                <w:szCs w:val="21"/>
              </w:rPr>
              <w:t>系统代码表、参数表等初始化、岗责权限初始化工作，包括培训、组织、采集、配置、检查验证、测试；</w:t>
            </w:r>
          </w:p>
        </w:tc>
        <w:tc>
          <w:tcPr>
            <w:tcW w:w="966" w:type="dxa"/>
            <w:vAlign w:val="center"/>
          </w:tcPr>
          <w:p>
            <w:pPr>
              <w:widowControl/>
              <w:overflowPunct w:val="0"/>
              <w:autoSpaceDE w:val="0"/>
              <w:autoSpaceDN w:val="0"/>
              <w:adjustRightInd w:val="0"/>
              <w:snapToGrid w:val="0"/>
              <w:ind w:firstLine="420" w:firstLineChars="200"/>
              <w:jc w:val="center"/>
              <w:textAlignment w:val="baseline"/>
              <w:rPr>
                <w:rFonts w:ascii="Arial" w:hAnsi="Arial" w:cs="Arial"/>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7" w:type="dxa"/>
            <w:vAlign w:val="center"/>
          </w:tcPr>
          <w:p>
            <w:pPr>
              <w:widowControl/>
              <w:overflowPunct w:val="0"/>
              <w:autoSpaceDE w:val="0"/>
              <w:autoSpaceDN w:val="0"/>
              <w:adjustRightInd w:val="0"/>
              <w:snapToGrid w:val="0"/>
              <w:jc w:val="center"/>
              <w:textAlignment w:val="baseline"/>
              <w:rPr>
                <w:rFonts w:ascii="Arial" w:hAnsi="Arial" w:cs="Arial"/>
                <w:kern w:val="0"/>
                <w:szCs w:val="21"/>
              </w:rPr>
            </w:pPr>
            <w:r>
              <w:rPr>
                <w:rFonts w:ascii="Arial" w:hAnsi="Arial" w:cs="Arial"/>
                <w:kern w:val="0"/>
                <w:szCs w:val="21"/>
              </w:rPr>
              <w:t>5</w:t>
            </w:r>
          </w:p>
        </w:tc>
        <w:tc>
          <w:tcPr>
            <w:tcW w:w="2164" w:type="dxa"/>
            <w:vAlign w:val="center"/>
          </w:tcPr>
          <w:p>
            <w:pPr>
              <w:widowControl/>
              <w:overflowPunct w:val="0"/>
              <w:autoSpaceDE w:val="0"/>
              <w:autoSpaceDN w:val="0"/>
              <w:adjustRightInd w:val="0"/>
              <w:snapToGrid w:val="0"/>
              <w:jc w:val="center"/>
              <w:textAlignment w:val="baseline"/>
              <w:rPr>
                <w:rFonts w:ascii="Arial" w:hAnsi="Arial" w:cs="Arial"/>
                <w:kern w:val="0"/>
                <w:szCs w:val="21"/>
              </w:rPr>
            </w:pPr>
            <w:r>
              <w:rPr>
                <w:rFonts w:ascii="Arial" w:hAnsi="Arial" w:cs="Arial"/>
                <w:kern w:val="0"/>
                <w:szCs w:val="21"/>
              </w:rPr>
              <w:t>系统测试服务</w:t>
            </w:r>
          </w:p>
        </w:tc>
        <w:tc>
          <w:tcPr>
            <w:tcW w:w="4385" w:type="dxa"/>
            <w:vAlign w:val="center"/>
          </w:tcPr>
          <w:p>
            <w:pPr>
              <w:widowControl/>
              <w:overflowPunct w:val="0"/>
              <w:autoSpaceDE w:val="0"/>
              <w:autoSpaceDN w:val="0"/>
              <w:adjustRightInd w:val="0"/>
              <w:snapToGrid w:val="0"/>
              <w:jc w:val="center"/>
              <w:textAlignment w:val="baseline"/>
              <w:rPr>
                <w:rFonts w:ascii="Arial" w:hAnsi="Arial" w:cs="Arial"/>
                <w:kern w:val="0"/>
                <w:szCs w:val="21"/>
              </w:rPr>
            </w:pPr>
            <w:r>
              <w:rPr>
                <w:rFonts w:ascii="Arial" w:hAnsi="Arial" w:cs="Arial"/>
                <w:kern w:val="0"/>
                <w:szCs w:val="21"/>
              </w:rPr>
              <w:t>包括测试方案制定、测试数据准备、测试问题分析、测试过程支持等工作；</w:t>
            </w:r>
          </w:p>
        </w:tc>
        <w:tc>
          <w:tcPr>
            <w:tcW w:w="966" w:type="dxa"/>
            <w:vAlign w:val="center"/>
          </w:tcPr>
          <w:p>
            <w:pPr>
              <w:widowControl/>
              <w:overflowPunct w:val="0"/>
              <w:autoSpaceDE w:val="0"/>
              <w:autoSpaceDN w:val="0"/>
              <w:adjustRightInd w:val="0"/>
              <w:snapToGrid w:val="0"/>
              <w:ind w:firstLine="420" w:firstLineChars="200"/>
              <w:jc w:val="center"/>
              <w:textAlignment w:val="baseline"/>
              <w:rPr>
                <w:rFonts w:ascii="Arial" w:hAnsi="Arial" w:cs="Arial"/>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7" w:type="dxa"/>
            <w:vAlign w:val="center"/>
          </w:tcPr>
          <w:p>
            <w:pPr>
              <w:widowControl/>
              <w:overflowPunct w:val="0"/>
              <w:autoSpaceDE w:val="0"/>
              <w:autoSpaceDN w:val="0"/>
              <w:adjustRightInd w:val="0"/>
              <w:snapToGrid w:val="0"/>
              <w:jc w:val="center"/>
              <w:textAlignment w:val="baseline"/>
              <w:rPr>
                <w:rFonts w:ascii="Arial" w:hAnsi="Arial" w:cs="Arial"/>
                <w:kern w:val="0"/>
                <w:szCs w:val="21"/>
              </w:rPr>
            </w:pPr>
            <w:r>
              <w:rPr>
                <w:rFonts w:ascii="Arial" w:hAnsi="Arial" w:cs="Arial"/>
                <w:kern w:val="0"/>
                <w:szCs w:val="21"/>
              </w:rPr>
              <w:t>6</w:t>
            </w:r>
          </w:p>
        </w:tc>
        <w:tc>
          <w:tcPr>
            <w:tcW w:w="2164" w:type="dxa"/>
            <w:vAlign w:val="center"/>
          </w:tcPr>
          <w:p>
            <w:pPr>
              <w:widowControl/>
              <w:overflowPunct w:val="0"/>
              <w:autoSpaceDE w:val="0"/>
              <w:autoSpaceDN w:val="0"/>
              <w:adjustRightInd w:val="0"/>
              <w:snapToGrid w:val="0"/>
              <w:jc w:val="center"/>
              <w:textAlignment w:val="baseline"/>
              <w:rPr>
                <w:rFonts w:ascii="Arial" w:hAnsi="Arial" w:cs="Arial"/>
                <w:kern w:val="0"/>
                <w:szCs w:val="21"/>
              </w:rPr>
            </w:pPr>
            <w:r>
              <w:rPr>
                <w:rFonts w:ascii="Arial" w:hAnsi="Arial" w:cs="Arial"/>
                <w:kern w:val="0"/>
                <w:szCs w:val="21"/>
              </w:rPr>
              <w:t>操作培训服务</w:t>
            </w:r>
          </w:p>
        </w:tc>
        <w:tc>
          <w:tcPr>
            <w:tcW w:w="4385" w:type="dxa"/>
            <w:vAlign w:val="center"/>
          </w:tcPr>
          <w:p>
            <w:pPr>
              <w:widowControl/>
              <w:overflowPunct w:val="0"/>
              <w:autoSpaceDE w:val="0"/>
              <w:autoSpaceDN w:val="0"/>
              <w:adjustRightInd w:val="0"/>
              <w:snapToGrid w:val="0"/>
              <w:jc w:val="center"/>
              <w:textAlignment w:val="baseline"/>
              <w:rPr>
                <w:rFonts w:ascii="Arial" w:hAnsi="Arial" w:cs="Arial"/>
                <w:kern w:val="0"/>
                <w:szCs w:val="21"/>
              </w:rPr>
            </w:pPr>
            <w:r>
              <w:rPr>
                <w:rFonts w:ascii="Arial" w:hAnsi="Arial" w:cs="Arial"/>
                <w:kern w:val="0"/>
                <w:szCs w:val="21"/>
              </w:rPr>
              <w:t>负责对局里人员进行培训，包括制定培训方案、培训课件编写、培训、培训支持及解答工作；</w:t>
            </w:r>
          </w:p>
        </w:tc>
        <w:tc>
          <w:tcPr>
            <w:tcW w:w="966" w:type="dxa"/>
            <w:vAlign w:val="center"/>
          </w:tcPr>
          <w:p>
            <w:pPr>
              <w:widowControl/>
              <w:overflowPunct w:val="0"/>
              <w:autoSpaceDE w:val="0"/>
              <w:autoSpaceDN w:val="0"/>
              <w:adjustRightInd w:val="0"/>
              <w:snapToGrid w:val="0"/>
              <w:ind w:firstLine="420" w:firstLineChars="200"/>
              <w:jc w:val="center"/>
              <w:textAlignment w:val="baseline"/>
              <w:rPr>
                <w:rFonts w:ascii="Arial" w:hAnsi="Arial" w:cs="Arial"/>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7" w:type="dxa"/>
            <w:vAlign w:val="center"/>
          </w:tcPr>
          <w:p>
            <w:pPr>
              <w:widowControl/>
              <w:overflowPunct w:val="0"/>
              <w:autoSpaceDE w:val="0"/>
              <w:autoSpaceDN w:val="0"/>
              <w:adjustRightInd w:val="0"/>
              <w:snapToGrid w:val="0"/>
              <w:jc w:val="center"/>
              <w:textAlignment w:val="baseline"/>
              <w:rPr>
                <w:rFonts w:ascii="Arial" w:hAnsi="Arial" w:cs="Arial"/>
                <w:kern w:val="0"/>
                <w:szCs w:val="21"/>
              </w:rPr>
            </w:pPr>
            <w:r>
              <w:rPr>
                <w:rFonts w:ascii="Arial" w:hAnsi="Arial" w:cs="Arial"/>
                <w:kern w:val="0"/>
                <w:szCs w:val="21"/>
              </w:rPr>
              <w:t>7</w:t>
            </w:r>
          </w:p>
        </w:tc>
        <w:tc>
          <w:tcPr>
            <w:tcW w:w="2164" w:type="dxa"/>
            <w:vAlign w:val="center"/>
          </w:tcPr>
          <w:p>
            <w:pPr>
              <w:widowControl/>
              <w:overflowPunct w:val="0"/>
              <w:autoSpaceDE w:val="0"/>
              <w:autoSpaceDN w:val="0"/>
              <w:adjustRightInd w:val="0"/>
              <w:snapToGrid w:val="0"/>
              <w:jc w:val="center"/>
              <w:textAlignment w:val="baseline"/>
              <w:rPr>
                <w:rFonts w:ascii="Arial" w:hAnsi="Arial" w:cs="Arial"/>
                <w:kern w:val="0"/>
                <w:szCs w:val="21"/>
              </w:rPr>
            </w:pPr>
            <w:r>
              <w:rPr>
                <w:rFonts w:ascii="Arial" w:hAnsi="Arial" w:cs="Arial"/>
                <w:kern w:val="0"/>
                <w:szCs w:val="21"/>
              </w:rPr>
              <w:t>联调测试服务</w:t>
            </w:r>
          </w:p>
        </w:tc>
        <w:tc>
          <w:tcPr>
            <w:tcW w:w="4385" w:type="dxa"/>
            <w:vAlign w:val="center"/>
          </w:tcPr>
          <w:p>
            <w:pPr>
              <w:widowControl/>
              <w:overflowPunct w:val="0"/>
              <w:autoSpaceDE w:val="0"/>
              <w:autoSpaceDN w:val="0"/>
              <w:adjustRightInd w:val="0"/>
              <w:snapToGrid w:val="0"/>
              <w:jc w:val="center"/>
              <w:textAlignment w:val="baseline"/>
              <w:rPr>
                <w:rFonts w:ascii="Arial" w:hAnsi="Arial" w:cs="Arial"/>
                <w:kern w:val="0"/>
                <w:szCs w:val="21"/>
              </w:rPr>
            </w:pPr>
            <w:r>
              <w:rPr>
                <w:rFonts w:ascii="Arial" w:hAnsi="Arial" w:cs="Arial"/>
                <w:kern w:val="0"/>
                <w:szCs w:val="21"/>
              </w:rPr>
              <w:t>承担应用总集成职责，组织各厂商应用集成相关工作。预生产、生产金三社保费管理子系统、金三社保费征收子系统、信息共享平台（税务端）应用集成，新建系统联调、本地特色软件接入集成，社保费服务集成，社保费数据集成、税务社保费数据集成工作和金三并库后原国税原地税、社保操作员映射，统一工作平台集成；另外还包括各集成服务的调试、测试等工作。</w:t>
            </w:r>
          </w:p>
        </w:tc>
        <w:tc>
          <w:tcPr>
            <w:tcW w:w="966" w:type="dxa"/>
            <w:vAlign w:val="center"/>
          </w:tcPr>
          <w:p>
            <w:pPr>
              <w:widowControl/>
              <w:overflowPunct w:val="0"/>
              <w:autoSpaceDE w:val="0"/>
              <w:autoSpaceDN w:val="0"/>
              <w:adjustRightInd w:val="0"/>
              <w:snapToGrid w:val="0"/>
              <w:ind w:firstLine="420" w:firstLineChars="200"/>
              <w:jc w:val="center"/>
              <w:textAlignment w:val="baseline"/>
              <w:rPr>
                <w:rFonts w:ascii="Arial" w:hAnsi="Arial" w:cs="Arial"/>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7" w:type="dxa"/>
            <w:vAlign w:val="center"/>
          </w:tcPr>
          <w:p>
            <w:pPr>
              <w:widowControl/>
              <w:overflowPunct w:val="0"/>
              <w:autoSpaceDE w:val="0"/>
              <w:autoSpaceDN w:val="0"/>
              <w:adjustRightInd w:val="0"/>
              <w:snapToGrid w:val="0"/>
              <w:jc w:val="center"/>
              <w:textAlignment w:val="baseline"/>
              <w:rPr>
                <w:rFonts w:ascii="Arial" w:hAnsi="Arial" w:cs="Arial"/>
                <w:kern w:val="0"/>
                <w:szCs w:val="21"/>
              </w:rPr>
            </w:pPr>
            <w:r>
              <w:rPr>
                <w:rFonts w:ascii="Arial" w:hAnsi="Arial" w:cs="Arial"/>
                <w:kern w:val="0"/>
                <w:szCs w:val="21"/>
              </w:rPr>
              <w:t>8</w:t>
            </w:r>
          </w:p>
        </w:tc>
        <w:tc>
          <w:tcPr>
            <w:tcW w:w="2164" w:type="dxa"/>
            <w:vAlign w:val="center"/>
          </w:tcPr>
          <w:p>
            <w:pPr>
              <w:widowControl/>
              <w:overflowPunct w:val="0"/>
              <w:autoSpaceDE w:val="0"/>
              <w:autoSpaceDN w:val="0"/>
              <w:adjustRightInd w:val="0"/>
              <w:snapToGrid w:val="0"/>
              <w:jc w:val="center"/>
              <w:textAlignment w:val="baseline"/>
              <w:rPr>
                <w:rFonts w:ascii="Arial" w:hAnsi="Arial" w:cs="Arial"/>
                <w:kern w:val="0"/>
                <w:szCs w:val="21"/>
              </w:rPr>
            </w:pPr>
            <w:r>
              <w:rPr>
                <w:rFonts w:ascii="Arial" w:hAnsi="Arial" w:cs="Arial"/>
                <w:kern w:val="0"/>
                <w:szCs w:val="21"/>
              </w:rPr>
              <w:t>上线切换</w:t>
            </w:r>
          </w:p>
        </w:tc>
        <w:tc>
          <w:tcPr>
            <w:tcW w:w="4385" w:type="dxa"/>
            <w:vAlign w:val="center"/>
          </w:tcPr>
          <w:p>
            <w:pPr>
              <w:widowControl/>
              <w:overflowPunct w:val="0"/>
              <w:autoSpaceDE w:val="0"/>
              <w:autoSpaceDN w:val="0"/>
              <w:adjustRightInd w:val="0"/>
              <w:snapToGrid w:val="0"/>
              <w:jc w:val="center"/>
              <w:textAlignment w:val="baseline"/>
              <w:rPr>
                <w:rFonts w:ascii="Arial" w:hAnsi="Arial" w:cs="Arial"/>
                <w:kern w:val="0"/>
                <w:szCs w:val="21"/>
              </w:rPr>
            </w:pPr>
            <w:r>
              <w:rPr>
                <w:rFonts w:ascii="Arial" w:hAnsi="Arial" w:cs="Arial"/>
                <w:kern w:val="0"/>
                <w:szCs w:val="21"/>
              </w:rPr>
              <w:t>包括上线切换方案制定、应急预案、切换执行、业务试办跟踪服务。</w:t>
            </w:r>
          </w:p>
        </w:tc>
        <w:tc>
          <w:tcPr>
            <w:tcW w:w="966" w:type="dxa"/>
            <w:vAlign w:val="center"/>
          </w:tcPr>
          <w:p>
            <w:pPr>
              <w:widowControl/>
              <w:overflowPunct w:val="0"/>
              <w:autoSpaceDE w:val="0"/>
              <w:autoSpaceDN w:val="0"/>
              <w:adjustRightInd w:val="0"/>
              <w:snapToGrid w:val="0"/>
              <w:ind w:firstLine="420" w:firstLineChars="200"/>
              <w:jc w:val="center"/>
              <w:textAlignment w:val="baseline"/>
              <w:rPr>
                <w:rFonts w:ascii="Arial" w:hAnsi="Arial" w:cs="Arial"/>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7" w:type="dxa"/>
            <w:vAlign w:val="center"/>
          </w:tcPr>
          <w:p>
            <w:pPr>
              <w:widowControl/>
              <w:overflowPunct w:val="0"/>
              <w:autoSpaceDE w:val="0"/>
              <w:autoSpaceDN w:val="0"/>
              <w:adjustRightInd w:val="0"/>
              <w:snapToGrid w:val="0"/>
              <w:jc w:val="center"/>
              <w:textAlignment w:val="baseline"/>
              <w:rPr>
                <w:rFonts w:ascii="Arial" w:hAnsi="Arial" w:cs="Arial"/>
                <w:kern w:val="0"/>
                <w:szCs w:val="21"/>
              </w:rPr>
            </w:pPr>
            <w:r>
              <w:rPr>
                <w:rFonts w:ascii="Arial" w:hAnsi="Arial" w:cs="Arial"/>
                <w:kern w:val="0"/>
                <w:szCs w:val="21"/>
              </w:rPr>
              <w:t>9</w:t>
            </w:r>
          </w:p>
        </w:tc>
        <w:tc>
          <w:tcPr>
            <w:tcW w:w="2164" w:type="dxa"/>
            <w:vAlign w:val="center"/>
          </w:tcPr>
          <w:p>
            <w:pPr>
              <w:widowControl/>
              <w:overflowPunct w:val="0"/>
              <w:autoSpaceDE w:val="0"/>
              <w:autoSpaceDN w:val="0"/>
              <w:adjustRightInd w:val="0"/>
              <w:snapToGrid w:val="0"/>
              <w:jc w:val="center"/>
              <w:textAlignment w:val="baseline"/>
              <w:rPr>
                <w:rFonts w:ascii="Arial" w:hAnsi="Arial" w:cs="Arial"/>
                <w:kern w:val="0"/>
                <w:szCs w:val="21"/>
              </w:rPr>
            </w:pPr>
            <w:r>
              <w:rPr>
                <w:rFonts w:ascii="Arial" w:hAnsi="Arial" w:cs="Arial"/>
                <w:kern w:val="0"/>
                <w:szCs w:val="21"/>
              </w:rPr>
              <w:t>支付平台</w:t>
            </w:r>
          </w:p>
        </w:tc>
        <w:tc>
          <w:tcPr>
            <w:tcW w:w="4385" w:type="dxa"/>
            <w:vAlign w:val="center"/>
          </w:tcPr>
          <w:p>
            <w:pPr>
              <w:widowControl/>
              <w:overflowPunct w:val="0"/>
              <w:autoSpaceDE w:val="0"/>
              <w:autoSpaceDN w:val="0"/>
              <w:adjustRightInd w:val="0"/>
              <w:snapToGrid w:val="0"/>
              <w:jc w:val="center"/>
              <w:textAlignment w:val="baseline"/>
              <w:rPr>
                <w:rFonts w:ascii="Arial" w:hAnsi="Arial" w:cs="Arial"/>
                <w:kern w:val="0"/>
                <w:szCs w:val="21"/>
              </w:rPr>
            </w:pPr>
            <w:r>
              <w:rPr>
                <w:rFonts w:ascii="Arial" w:hAnsi="Arial" w:cs="Arial"/>
                <w:kern w:val="0"/>
                <w:szCs w:val="21"/>
              </w:rPr>
              <w:t>提供第三方支付平台部署、联调测试，可支撑缴费人通过微信、支付宝、银联进行缴费。也可用于核心征管、电子税务局等缴税支付；</w:t>
            </w:r>
          </w:p>
        </w:tc>
        <w:tc>
          <w:tcPr>
            <w:tcW w:w="966" w:type="dxa"/>
            <w:vAlign w:val="center"/>
          </w:tcPr>
          <w:p>
            <w:pPr>
              <w:widowControl/>
              <w:overflowPunct w:val="0"/>
              <w:autoSpaceDE w:val="0"/>
              <w:autoSpaceDN w:val="0"/>
              <w:adjustRightInd w:val="0"/>
              <w:snapToGrid w:val="0"/>
              <w:ind w:firstLine="420" w:firstLineChars="200"/>
              <w:jc w:val="center"/>
              <w:textAlignment w:val="baseline"/>
              <w:rPr>
                <w:rFonts w:ascii="Arial" w:hAnsi="Arial" w:cs="Arial"/>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7" w:type="dxa"/>
            <w:vAlign w:val="center"/>
          </w:tcPr>
          <w:p>
            <w:pPr>
              <w:widowControl/>
              <w:overflowPunct w:val="0"/>
              <w:autoSpaceDE w:val="0"/>
              <w:autoSpaceDN w:val="0"/>
              <w:adjustRightInd w:val="0"/>
              <w:snapToGrid w:val="0"/>
              <w:jc w:val="center"/>
              <w:textAlignment w:val="baseline"/>
              <w:rPr>
                <w:rFonts w:ascii="Arial" w:hAnsi="Arial" w:cs="Arial"/>
                <w:kern w:val="0"/>
                <w:szCs w:val="21"/>
              </w:rPr>
            </w:pPr>
            <w:r>
              <w:rPr>
                <w:rFonts w:ascii="Arial" w:hAnsi="Arial" w:cs="Arial"/>
                <w:kern w:val="0"/>
                <w:szCs w:val="21"/>
              </w:rPr>
              <w:t>10</w:t>
            </w:r>
          </w:p>
        </w:tc>
        <w:tc>
          <w:tcPr>
            <w:tcW w:w="2164" w:type="dxa"/>
            <w:vAlign w:val="center"/>
          </w:tcPr>
          <w:p>
            <w:pPr>
              <w:widowControl/>
              <w:overflowPunct w:val="0"/>
              <w:autoSpaceDE w:val="0"/>
              <w:autoSpaceDN w:val="0"/>
              <w:adjustRightInd w:val="0"/>
              <w:snapToGrid w:val="0"/>
              <w:jc w:val="center"/>
              <w:textAlignment w:val="baseline"/>
              <w:rPr>
                <w:rFonts w:ascii="Arial" w:hAnsi="Arial" w:cs="Arial"/>
                <w:kern w:val="0"/>
                <w:szCs w:val="21"/>
              </w:rPr>
            </w:pPr>
            <w:r>
              <w:rPr>
                <w:rFonts w:ascii="Arial" w:hAnsi="Arial" w:cs="Arial"/>
                <w:kern w:val="0"/>
                <w:szCs w:val="21"/>
              </w:rPr>
              <w:t>数据迁移服务</w:t>
            </w:r>
          </w:p>
        </w:tc>
        <w:tc>
          <w:tcPr>
            <w:tcW w:w="4385" w:type="dxa"/>
            <w:vAlign w:val="center"/>
          </w:tcPr>
          <w:p>
            <w:pPr>
              <w:widowControl/>
              <w:overflowPunct w:val="0"/>
              <w:autoSpaceDE w:val="0"/>
              <w:autoSpaceDN w:val="0"/>
              <w:adjustRightInd w:val="0"/>
              <w:snapToGrid w:val="0"/>
              <w:jc w:val="center"/>
              <w:textAlignment w:val="baseline"/>
              <w:rPr>
                <w:rFonts w:ascii="Arial" w:hAnsi="Arial" w:cs="Arial"/>
                <w:kern w:val="0"/>
                <w:szCs w:val="21"/>
              </w:rPr>
            </w:pPr>
            <w:r>
              <w:rPr>
                <w:rFonts w:ascii="Arial" w:hAnsi="Arial" w:cs="Arial"/>
                <w:kern w:val="0"/>
                <w:szCs w:val="21"/>
              </w:rPr>
              <w:t>基础数据的清洗比对和治理投放，包括数据迁移工作组织、数据比对、脚本开发、数据投放、验证整改</w:t>
            </w:r>
          </w:p>
        </w:tc>
        <w:tc>
          <w:tcPr>
            <w:tcW w:w="966" w:type="dxa"/>
            <w:vAlign w:val="center"/>
          </w:tcPr>
          <w:p>
            <w:pPr>
              <w:widowControl/>
              <w:overflowPunct w:val="0"/>
              <w:autoSpaceDE w:val="0"/>
              <w:autoSpaceDN w:val="0"/>
              <w:adjustRightInd w:val="0"/>
              <w:snapToGrid w:val="0"/>
              <w:ind w:firstLine="420" w:firstLineChars="200"/>
              <w:jc w:val="center"/>
              <w:textAlignment w:val="baseline"/>
              <w:rPr>
                <w:rFonts w:ascii="Arial" w:hAnsi="Arial" w:cs="Arial"/>
                <w:kern w:val="0"/>
                <w:szCs w:val="21"/>
              </w:rPr>
            </w:pPr>
          </w:p>
        </w:tc>
      </w:tr>
    </w:tbl>
    <w:p>
      <w:pPr>
        <w:suppressAutoHyphens/>
        <w:spacing w:line="360" w:lineRule="auto"/>
        <w:ind w:firstLine="482" w:firstLineChars="200"/>
        <w:rPr>
          <w:rFonts w:ascii="Arial" w:hAnsi="Arial" w:cs="Arial"/>
          <w:b/>
          <w:bCs/>
          <w:color w:val="000000"/>
          <w:sz w:val="24"/>
        </w:rPr>
      </w:pPr>
      <w:r>
        <w:rPr>
          <w:rFonts w:ascii="Arial" w:hAnsi="Arial" w:cs="Arial"/>
          <w:b/>
          <w:bCs/>
          <w:color w:val="000000"/>
          <w:sz w:val="24"/>
        </w:rPr>
        <w:t>社保费征收子系统建设需求</w:t>
      </w:r>
    </w:p>
    <w:p>
      <w:pPr>
        <w:suppressAutoHyphens/>
        <w:spacing w:line="360" w:lineRule="auto"/>
        <w:ind w:firstLine="480" w:firstLineChars="200"/>
        <w:rPr>
          <w:rFonts w:ascii="Arial" w:hAnsi="Arial" w:cs="Arial"/>
          <w:color w:val="000000"/>
          <w:sz w:val="24"/>
        </w:rPr>
      </w:pPr>
      <w:r>
        <w:rPr>
          <w:rFonts w:ascii="Arial" w:hAnsi="Arial" w:cs="Arial"/>
          <w:color w:val="000000"/>
          <w:sz w:val="24"/>
        </w:rPr>
        <w:t>业务需求</w:t>
      </w:r>
    </w:p>
    <w:p>
      <w:pPr>
        <w:suppressAutoHyphens/>
        <w:spacing w:line="360" w:lineRule="auto"/>
        <w:ind w:firstLine="480" w:firstLineChars="200"/>
        <w:rPr>
          <w:rFonts w:ascii="Arial" w:hAnsi="Arial" w:cs="Arial"/>
          <w:color w:val="000000"/>
          <w:sz w:val="24"/>
        </w:rPr>
      </w:pPr>
      <w:r>
        <w:rPr>
          <w:rFonts w:ascii="Arial" w:hAnsi="Arial" w:cs="Arial"/>
          <w:color w:val="000000"/>
          <w:sz w:val="24"/>
        </w:rPr>
        <w:t>基于金税三期核心征管系统征收业务模式，调整改造</w:t>
      </w:r>
      <w:r>
        <w:rPr>
          <w:rFonts w:hint="eastAsia" w:ascii="Arial" w:hAnsi="Arial" w:cs="Arial"/>
          <w:color w:val="000000"/>
          <w:sz w:val="24"/>
          <w:lang w:eastAsia="zh-CN"/>
        </w:rPr>
        <w:t>涉及</w:t>
      </w:r>
      <w:r>
        <w:rPr>
          <w:rFonts w:ascii="Arial" w:hAnsi="Arial" w:cs="Arial"/>
          <w:color w:val="000000"/>
          <w:sz w:val="24"/>
        </w:rPr>
        <w:t>社保费子系统相关系统功能。改造功能的类别包括前台业务功能，也包括批量处理功能，补偿业务功能以及数据统计查询功能等。具体需要改造功能如下表。</w:t>
      </w:r>
    </w:p>
    <w:tbl>
      <w:tblPr>
        <w:tblStyle w:val="3"/>
        <w:tblW w:w="8486" w:type="dxa"/>
        <w:jc w:val="center"/>
        <w:tblLayout w:type="autofit"/>
        <w:tblCellMar>
          <w:top w:w="0" w:type="dxa"/>
          <w:left w:w="108" w:type="dxa"/>
          <w:bottom w:w="0" w:type="dxa"/>
          <w:right w:w="108" w:type="dxa"/>
        </w:tblCellMar>
      </w:tblPr>
      <w:tblGrid>
        <w:gridCol w:w="2532"/>
        <w:gridCol w:w="5954"/>
      </w:tblGrid>
      <w:tr>
        <w:tblPrEx>
          <w:tblCellMar>
            <w:top w:w="0" w:type="dxa"/>
            <w:left w:w="108" w:type="dxa"/>
            <w:bottom w:w="0" w:type="dxa"/>
            <w:right w:w="108" w:type="dxa"/>
          </w:tblCellMar>
        </w:tblPrEx>
        <w:trPr>
          <w:trHeight w:val="20" w:hRule="atLeast"/>
          <w:tblHeader/>
          <w:jc w:val="center"/>
        </w:trPr>
        <w:tc>
          <w:tcPr>
            <w:tcW w:w="2532" w:type="dxa"/>
            <w:tcBorders>
              <w:top w:val="single" w:color="auto" w:sz="4" w:space="0"/>
              <w:left w:val="single" w:color="auto" w:sz="4" w:space="0"/>
              <w:bottom w:val="single" w:color="auto" w:sz="4" w:space="0"/>
              <w:right w:val="single" w:color="auto" w:sz="4" w:space="0"/>
            </w:tcBorders>
            <w:shd w:val="clear" w:color="auto" w:fill="D9D9D9"/>
            <w:noWrap/>
            <w:vAlign w:val="center"/>
          </w:tcPr>
          <w:p>
            <w:pPr>
              <w:suppressAutoHyphens/>
              <w:spacing w:line="360" w:lineRule="auto"/>
              <w:jc w:val="center"/>
              <w:rPr>
                <w:rFonts w:ascii="Arial" w:hAnsi="Arial" w:cs="Arial"/>
                <w:b/>
                <w:bCs/>
                <w:szCs w:val="21"/>
              </w:rPr>
            </w:pPr>
            <w:r>
              <w:rPr>
                <w:rFonts w:ascii="Arial" w:hAnsi="Arial" w:cs="Arial"/>
                <w:b/>
                <w:bCs/>
                <w:szCs w:val="21"/>
              </w:rPr>
              <w:t>系统功能代码</w:t>
            </w:r>
          </w:p>
        </w:tc>
        <w:tc>
          <w:tcPr>
            <w:tcW w:w="5954" w:type="dxa"/>
            <w:tcBorders>
              <w:top w:val="single" w:color="auto" w:sz="4" w:space="0"/>
              <w:left w:val="nil"/>
              <w:bottom w:val="single" w:color="auto" w:sz="4" w:space="0"/>
              <w:right w:val="single" w:color="auto" w:sz="4" w:space="0"/>
            </w:tcBorders>
            <w:shd w:val="clear" w:color="auto" w:fill="D9D9D9"/>
            <w:noWrap/>
            <w:vAlign w:val="center"/>
          </w:tcPr>
          <w:p>
            <w:pPr>
              <w:suppressAutoHyphens/>
              <w:spacing w:line="360" w:lineRule="auto"/>
              <w:jc w:val="center"/>
              <w:rPr>
                <w:rFonts w:ascii="Arial" w:hAnsi="Arial" w:cs="Arial"/>
                <w:b/>
                <w:bCs/>
                <w:szCs w:val="21"/>
              </w:rPr>
            </w:pPr>
            <w:r>
              <w:rPr>
                <w:rFonts w:ascii="Arial" w:hAnsi="Arial" w:cs="Arial"/>
                <w:b/>
                <w:bCs/>
                <w:szCs w:val="21"/>
              </w:rPr>
              <w:t>系统功能名称</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A0000001A0700239</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撤销抵缴欠税（社保费）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A0000001A0700238</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抵缴欠税（社保费）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A0000001A0700237</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死欠核销申请（社保费）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A0000001A0700241</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更正调库（社保费）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A0000001A0700228</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缴款书上解销号（社保费）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A0000001A0700240</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缴款错误更正（社保费）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A0000001A0700233</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电子收入退还书手工销号（社保费）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A0000001A0700232</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电子税票手工销号（社保费）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A0000001A0700231</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撤销收入退还书销号（社保费）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A0000001A0700236</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死欠核销（社保费）核准</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A0000001A0700235</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撤销电子收入退还书手工销号（社保费）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A0000001A0700234</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撤销电子税票手工销号（社保费）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A0000001A0700266</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批量发起扣款(社保费)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A0000001A0600235</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社保费批扣清册确认设置</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A0000001A0600236</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社保费批扣清册的生成</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A0000001A0700255</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延期缴纳税款申请（社保费）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A0000004F0100001</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社保费费率设置</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A0000001A0700267</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录入应抵退信息（上线前）（社保费）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A0000001A0700253</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社保费POS机银行端缴税凭证处理</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A0000001A0700243</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开具收入退还书（社保费）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A0000001A0700242</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更正（调库）通知书作废（社保费）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A0000001A0700272</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催缴处理（社保费）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A0000001A0700273</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账号错误退库退回（社保费）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A0000001A0700254</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待缴库税款开票（社保费）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A0000001A0700248</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纳税凭证转开（社保费）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A0000001A0700244</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一般征收开票（管理子系统社保费）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A0000001A0700211</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税票录入(社保费)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A0000001A0700217</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录入退抵税费信息（社保费）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A0000001A0700216</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录入退抵税费信息审批（社保费）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A0000001A0700247</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票证补打（社保费）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A0000001A0700213</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税库银撤销交易（社保费）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A0000001A0700214</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批量交易处理（社保费）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A0000001A0700246</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票证重打（社保费）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A0000001A0700245</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退库复核（社保费）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A0000001A0700212</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一般征收开票（社保费）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A0000001A0700215</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单笔交易处理（社保费）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A0000001A0700226</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缴款书入库销号（社保费）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A0000001A0700225</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撤销更正（调库）通知书销号（社保费）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A0000001A0700224</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更正（调库）通知书销号（社保费）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A0000001A0700230</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收入退还书销号（社保费）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A0000001A0700229</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撤销缴款书上解销号（社保费）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A0000001A0700227</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撤销缴款书入库销号（社保费）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A0000001A0700220</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不予加收滞纳金审批（社保费)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A0000001A0700219</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不予加收滞纳金发放（社保费)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A0000001A0700218</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录入退抵税费信息通知书发放（社保费）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A0000001A0700223</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现金票证汇总（社保费）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A0000001A0700222</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票证作废（社保费）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A0000001A0700221</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不予加收滞纳金确认（社保费)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F0000003A0700128</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汇总缴款书开具信息清册（社保费）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F0000003A0700129</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纳税凭证转开信息清册（社保费）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F0000003A0700126</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抵缴欠税信息清册（社保费）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F0000003A0700133</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不予加收滞纳金查询（社保费）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F0000003A0700131</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更正（调库）社保费查询</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F0000003A0700130</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入库查询（社保费厦门地税专用）</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F0000003F0300047</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分纳税人分税种排行榜（社保费）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F0000003F0300046</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纳税人分月分税种入库查询(社保费)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F0000003A0700144</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入库税收情况清册（社保费）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F0000003A0700145</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应缴未缴滞纳金清册（社保费）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F0000003F0300045</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征收分单位分税种统计表（社保费）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F0000003F0300042</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征收分税种分级次统计（社保费）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F0000003F0300041</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净入库分单位分税种统计表（社保费）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F0000003F0300044</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分单位税收资金运行情况监控表(社保费)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F0000003F0300043</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净入库分税种分级次统计表(社保费)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F0000003A0700125</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退抵税清册（社保费）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F0000003A0600114</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申报税（费）收入按征收项目统计表（社保费）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F0000003A0700120</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POS刷卡情况查询（社保费）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F0000003A0600118</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净入库（社保费）查询</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F0000003A0700110</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征收税费明细清册（社保费）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F0000003A0600109</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申报开票金额查询（社保费）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F0000003A0700116</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税收入库情况统计表（社保费）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F0000003A0700115</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批扣清册查询（社保费）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F0000003A0700117</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入库税款（金库）分主管税务机关统计表（社保费）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F0000003A0700119</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已上解未入库查询（社保费）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F0000003A0700118</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在途税费明细清册（社保费）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F0000003A0700114</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税费征收入库率统计表（社保费）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F0000003A0700113</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税费征收情况分行业统计表（社保费）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F0000003A0700127</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缴款书未入库情况查询（社保费）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F0000003A0700124</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退库处理信息清册（社保费）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F0000003A0700123</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退抵税（费）审批情况查询（社保费）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F0000003A0700107</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税款开票查询（社保费）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F0000003A0600113</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网上申报未入库查询（社保费）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F0000003A0700108</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入库查询（社保费）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F0000003A0700112</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税费欠缴情况分行业统计表（社保费）</w:t>
            </w:r>
          </w:p>
        </w:tc>
      </w:tr>
      <w:tr>
        <w:tblPrEx>
          <w:tblCellMar>
            <w:top w:w="0" w:type="dxa"/>
            <w:left w:w="108" w:type="dxa"/>
            <w:bottom w:w="0" w:type="dxa"/>
            <w:right w:w="108" w:type="dxa"/>
          </w:tblCellMar>
        </w:tblPrEx>
        <w:trPr>
          <w:trHeight w:val="20" w:hRule="atLeast"/>
          <w:jc w:val="center"/>
        </w:trPr>
        <w:tc>
          <w:tcPr>
            <w:tcW w:w="2532" w:type="dxa"/>
            <w:tcBorders>
              <w:top w:val="nil"/>
              <w:left w:val="single" w:color="auto" w:sz="4" w:space="0"/>
              <w:bottom w:val="single" w:color="auto" w:sz="4" w:space="0"/>
              <w:right w:val="nil"/>
            </w:tcBorders>
            <w:noWrap/>
            <w:vAlign w:val="center"/>
          </w:tcPr>
          <w:p>
            <w:pPr>
              <w:suppressAutoHyphens/>
              <w:spacing w:line="360" w:lineRule="auto"/>
              <w:jc w:val="center"/>
              <w:rPr>
                <w:rFonts w:ascii="Arial" w:hAnsi="Arial" w:cs="Arial"/>
                <w:szCs w:val="21"/>
              </w:rPr>
            </w:pPr>
            <w:r>
              <w:rPr>
                <w:rFonts w:ascii="Arial" w:hAnsi="Arial" w:cs="Arial"/>
                <w:szCs w:val="21"/>
              </w:rPr>
              <w:t>F0000003A0700111</w:t>
            </w:r>
          </w:p>
        </w:tc>
        <w:tc>
          <w:tcPr>
            <w:tcW w:w="5954"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税费欠缴明细清册（社保费）</w:t>
            </w:r>
          </w:p>
        </w:tc>
      </w:tr>
    </w:tbl>
    <w:p>
      <w:pPr>
        <w:suppressAutoHyphens/>
        <w:spacing w:line="360" w:lineRule="auto"/>
        <w:ind w:firstLine="482" w:firstLineChars="200"/>
        <w:rPr>
          <w:rFonts w:ascii="Arial" w:hAnsi="Arial" w:cs="Arial"/>
          <w:b/>
          <w:bCs/>
          <w:color w:val="000000"/>
          <w:sz w:val="24"/>
        </w:rPr>
      </w:pPr>
      <w:r>
        <w:rPr>
          <w:rFonts w:ascii="Arial" w:hAnsi="Arial" w:cs="Arial"/>
          <w:b/>
          <w:bCs/>
          <w:color w:val="000000"/>
          <w:sz w:val="24"/>
        </w:rPr>
        <w:t>社保费规费检查业务功能改造</w:t>
      </w:r>
    </w:p>
    <w:p>
      <w:pPr>
        <w:suppressAutoHyphens/>
        <w:spacing w:line="360" w:lineRule="auto"/>
        <w:ind w:firstLine="480"/>
        <w:rPr>
          <w:rFonts w:ascii="Arial" w:hAnsi="Arial" w:cs="Arial"/>
          <w:sz w:val="24"/>
        </w:rPr>
      </w:pPr>
      <w:r>
        <w:rPr>
          <w:rFonts w:ascii="Arial" w:hAnsi="Arial" w:cs="Arial"/>
          <w:color w:val="000000"/>
          <w:sz w:val="24"/>
        </w:rPr>
        <w:t>社保费规费检查业务域功能应保证核心征管系统稽查总体业务模式和业务流程相一致的同时，更好的适应国地税合并的总体业务需求。本次改造将包括选案、检查、审理、执行以及移送审批流程等关键功能，将各地的社保费业务纳入，检查情况涉及改造功能见下表。</w:t>
      </w:r>
    </w:p>
    <w:tbl>
      <w:tblPr>
        <w:tblStyle w:val="3"/>
        <w:tblW w:w="8486" w:type="dxa"/>
        <w:jc w:val="center"/>
        <w:tblLayout w:type="autofit"/>
        <w:tblCellMar>
          <w:top w:w="0" w:type="dxa"/>
          <w:left w:w="108" w:type="dxa"/>
          <w:bottom w:w="0" w:type="dxa"/>
          <w:right w:w="108" w:type="dxa"/>
        </w:tblCellMar>
      </w:tblPr>
      <w:tblGrid>
        <w:gridCol w:w="2532"/>
        <w:gridCol w:w="5954"/>
      </w:tblGrid>
      <w:tr>
        <w:tblPrEx>
          <w:tblCellMar>
            <w:top w:w="0" w:type="dxa"/>
            <w:left w:w="108" w:type="dxa"/>
            <w:bottom w:w="0" w:type="dxa"/>
            <w:right w:w="108" w:type="dxa"/>
          </w:tblCellMar>
        </w:tblPrEx>
        <w:trPr>
          <w:trHeight w:val="270" w:hRule="atLeast"/>
          <w:tblHeader/>
          <w:jc w:val="center"/>
        </w:trPr>
        <w:tc>
          <w:tcPr>
            <w:tcW w:w="2532" w:type="dxa"/>
            <w:tcBorders>
              <w:top w:val="single" w:color="auto" w:sz="4" w:space="0"/>
              <w:left w:val="single" w:color="auto" w:sz="4" w:space="0"/>
              <w:bottom w:val="single" w:color="auto" w:sz="4" w:space="0"/>
              <w:right w:val="single" w:color="auto" w:sz="4" w:space="0"/>
            </w:tcBorders>
            <w:shd w:val="clear" w:color="auto" w:fill="BFBFBF"/>
            <w:noWrap/>
            <w:vAlign w:val="center"/>
          </w:tcPr>
          <w:p>
            <w:pPr>
              <w:suppressAutoHyphens/>
              <w:spacing w:line="360" w:lineRule="auto"/>
              <w:jc w:val="center"/>
              <w:rPr>
                <w:rFonts w:ascii="Arial" w:hAnsi="Arial" w:cs="Arial"/>
                <w:szCs w:val="21"/>
              </w:rPr>
            </w:pPr>
            <w:r>
              <w:rPr>
                <w:rFonts w:ascii="Arial" w:hAnsi="Arial" w:cs="Arial"/>
                <w:szCs w:val="21"/>
              </w:rPr>
              <w:t>系统功能代码</w:t>
            </w:r>
          </w:p>
        </w:tc>
        <w:tc>
          <w:tcPr>
            <w:tcW w:w="5954" w:type="dxa"/>
            <w:tcBorders>
              <w:top w:val="single" w:color="auto" w:sz="4" w:space="0"/>
              <w:left w:val="nil"/>
              <w:bottom w:val="single" w:color="auto" w:sz="4" w:space="0"/>
              <w:right w:val="single" w:color="auto" w:sz="4" w:space="0"/>
            </w:tcBorders>
            <w:shd w:val="clear" w:color="auto" w:fill="BFBFBF"/>
            <w:noWrap/>
            <w:vAlign w:val="center"/>
          </w:tcPr>
          <w:p>
            <w:pPr>
              <w:suppressAutoHyphens/>
              <w:spacing w:line="360" w:lineRule="auto"/>
              <w:jc w:val="center"/>
              <w:rPr>
                <w:rFonts w:ascii="Arial" w:hAnsi="Arial" w:cs="Arial"/>
                <w:szCs w:val="21"/>
              </w:rPr>
            </w:pPr>
            <w:r>
              <w:rPr>
                <w:rFonts w:ascii="Arial" w:hAnsi="Arial" w:cs="Arial"/>
                <w:szCs w:val="21"/>
              </w:rPr>
              <w:t>系统功能名称</w:t>
            </w:r>
          </w:p>
        </w:tc>
      </w:tr>
      <w:tr>
        <w:tblPrEx>
          <w:tblCellMar>
            <w:top w:w="0" w:type="dxa"/>
            <w:left w:w="108" w:type="dxa"/>
            <w:bottom w:w="0" w:type="dxa"/>
            <w:right w:w="108" w:type="dxa"/>
          </w:tblCellMar>
        </w:tblPrEx>
        <w:trPr>
          <w:trHeight w:val="270" w:hRule="atLeast"/>
          <w:jc w:val="center"/>
        </w:trPr>
        <w:tc>
          <w:tcPr>
            <w:tcW w:w="2532" w:type="dxa"/>
            <w:tcBorders>
              <w:top w:val="single" w:color="auto" w:sz="4" w:space="0"/>
              <w:left w:val="single" w:color="auto" w:sz="4" w:space="0"/>
              <w:bottom w:val="single" w:color="auto" w:sz="4" w:space="0"/>
              <w:right w:val="nil"/>
            </w:tcBorders>
            <w:noWrap/>
            <w:vAlign w:val="center"/>
          </w:tcPr>
          <w:p>
            <w:pPr>
              <w:suppressAutoHyphens/>
              <w:spacing w:line="360" w:lineRule="auto"/>
              <w:jc w:val="center"/>
              <w:rPr>
                <w:rFonts w:ascii="Arial" w:hAnsi="Arial" w:cs="Arial"/>
                <w:szCs w:val="21"/>
              </w:rPr>
            </w:pPr>
            <w:r>
              <w:rPr>
                <w:rFonts w:ascii="Arial" w:hAnsi="Arial" w:cs="Arial"/>
                <w:szCs w:val="21"/>
              </w:rPr>
              <w:t>A0000001A1100068</w:t>
            </w:r>
          </w:p>
        </w:tc>
        <w:tc>
          <w:tcPr>
            <w:tcW w:w="5954"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规费检查案件移送</w:t>
            </w:r>
          </w:p>
        </w:tc>
      </w:tr>
      <w:tr>
        <w:tblPrEx>
          <w:tblCellMar>
            <w:top w:w="0" w:type="dxa"/>
            <w:left w:w="108" w:type="dxa"/>
            <w:bottom w:w="0" w:type="dxa"/>
            <w:right w:w="108" w:type="dxa"/>
          </w:tblCellMar>
        </w:tblPrEx>
        <w:trPr>
          <w:trHeight w:val="270" w:hRule="atLeast"/>
          <w:jc w:val="center"/>
        </w:trPr>
        <w:tc>
          <w:tcPr>
            <w:tcW w:w="2532" w:type="dxa"/>
            <w:tcBorders>
              <w:top w:val="single" w:color="auto" w:sz="4" w:space="0"/>
              <w:left w:val="single" w:color="auto" w:sz="4" w:space="0"/>
              <w:bottom w:val="single" w:color="auto" w:sz="4" w:space="0"/>
              <w:right w:val="nil"/>
            </w:tcBorders>
            <w:noWrap/>
            <w:vAlign w:val="center"/>
          </w:tcPr>
          <w:p>
            <w:pPr>
              <w:suppressAutoHyphens/>
              <w:spacing w:line="360" w:lineRule="auto"/>
              <w:jc w:val="center"/>
              <w:rPr>
                <w:rFonts w:ascii="Arial" w:hAnsi="Arial" w:cs="Arial"/>
                <w:szCs w:val="21"/>
              </w:rPr>
            </w:pPr>
            <w:r>
              <w:rPr>
                <w:rFonts w:ascii="Arial" w:hAnsi="Arial" w:cs="Arial"/>
                <w:szCs w:val="21"/>
              </w:rPr>
              <w:t>A0000001A1100066</w:t>
            </w:r>
          </w:p>
        </w:tc>
        <w:tc>
          <w:tcPr>
            <w:tcW w:w="5954"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规费检查案件移送申请</w:t>
            </w:r>
          </w:p>
        </w:tc>
      </w:tr>
      <w:tr>
        <w:tblPrEx>
          <w:tblCellMar>
            <w:top w:w="0" w:type="dxa"/>
            <w:left w:w="108" w:type="dxa"/>
            <w:bottom w:w="0" w:type="dxa"/>
            <w:right w:w="108" w:type="dxa"/>
          </w:tblCellMar>
        </w:tblPrEx>
        <w:trPr>
          <w:trHeight w:val="270" w:hRule="atLeast"/>
          <w:jc w:val="center"/>
        </w:trPr>
        <w:tc>
          <w:tcPr>
            <w:tcW w:w="2532" w:type="dxa"/>
            <w:tcBorders>
              <w:top w:val="nil"/>
              <w:left w:val="single" w:color="auto" w:sz="4" w:space="0"/>
              <w:bottom w:val="single" w:color="auto" w:sz="4" w:space="0"/>
              <w:right w:val="nil"/>
            </w:tcBorders>
            <w:noWrap/>
            <w:vAlign w:val="center"/>
          </w:tcPr>
          <w:p>
            <w:pPr>
              <w:suppressAutoHyphens/>
              <w:spacing w:line="360" w:lineRule="auto"/>
              <w:jc w:val="center"/>
              <w:rPr>
                <w:rFonts w:ascii="Arial" w:hAnsi="Arial" w:cs="Arial"/>
                <w:szCs w:val="21"/>
              </w:rPr>
            </w:pPr>
            <w:r>
              <w:rPr>
                <w:rFonts w:ascii="Arial" w:hAnsi="Arial" w:cs="Arial"/>
                <w:szCs w:val="21"/>
              </w:rPr>
              <w:t>A0000001A1100067</w:t>
            </w:r>
          </w:p>
        </w:tc>
        <w:tc>
          <w:tcPr>
            <w:tcW w:w="5954"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规费检查案件移送申请审批</w:t>
            </w:r>
          </w:p>
        </w:tc>
      </w:tr>
      <w:tr>
        <w:tblPrEx>
          <w:tblCellMar>
            <w:top w:w="0" w:type="dxa"/>
            <w:left w:w="108" w:type="dxa"/>
            <w:bottom w:w="0" w:type="dxa"/>
            <w:right w:w="108" w:type="dxa"/>
          </w:tblCellMar>
        </w:tblPrEx>
        <w:trPr>
          <w:trHeight w:val="270" w:hRule="atLeast"/>
          <w:jc w:val="center"/>
        </w:trPr>
        <w:tc>
          <w:tcPr>
            <w:tcW w:w="2532" w:type="dxa"/>
            <w:tcBorders>
              <w:top w:val="nil"/>
              <w:left w:val="single" w:color="auto" w:sz="4" w:space="0"/>
              <w:bottom w:val="single" w:color="auto" w:sz="4" w:space="0"/>
              <w:right w:val="nil"/>
            </w:tcBorders>
            <w:noWrap/>
            <w:vAlign w:val="center"/>
          </w:tcPr>
          <w:p>
            <w:pPr>
              <w:suppressAutoHyphens/>
              <w:spacing w:line="360" w:lineRule="auto"/>
              <w:jc w:val="center"/>
              <w:rPr>
                <w:rFonts w:ascii="Arial" w:hAnsi="Arial" w:cs="Arial"/>
                <w:szCs w:val="21"/>
              </w:rPr>
            </w:pPr>
            <w:r>
              <w:rPr>
                <w:rFonts w:ascii="Arial" w:hAnsi="Arial" w:cs="Arial"/>
                <w:szCs w:val="21"/>
              </w:rPr>
              <w:t>A0000001A1100059</w:t>
            </w:r>
          </w:p>
        </w:tc>
        <w:tc>
          <w:tcPr>
            <w:tcW w:w="5954"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规费检查案源登记</w:t>
            </w:r>
          </w:p>
        </w:tc>
      </w:tr>
      <w:tr>
        <w:tblPrEx>
          <w:tblCellMar>
            <w:top w:w="0" w:type="dxa"/>
            <w:left w:w="108" w:type="dxa"/>
            <w:bottom w:w="0" w:type="dxa"/>
            <w:right w:w="108" w:type="dxa"/>
          </w:tblCellMar>
        </w:tblPrEx>
        <w:trPr>
          <w:trHeight w:val="27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A0000001A1100064</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规费检查处理</w:t>
            </w:r>
          </w:p>
        </w:tc>
      </w:tr>
      <w:tr>
        <w:tblPrEx>
          <w:tblCellMar>
            <w:top w:w="0" w:type="dxa"/>
            <w:left w:w="108" w:type="dxa"/>
            <w:bottom w:w="0" w:type="dxa"/>
            <w:right w:w="108" w:type="dxa"/>
          </w:tblCellMar>
        </w:tblPrEx>
        <w:trPr>
          <w:trHeight w:val="27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A0000001A1100062</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规费检查检查</w:t>
            </w:r>
          </w:p>
        </w:tc>
      </w:tr>
      <w:tr>
        <w:tblPrEx>
          <w:tblCellMar>
            <w:top w:w="0" w:type="dxa"/>
            <w:left w:w="108" w:type="dxa"/>
            <w:bottom w:w="0" w:type="dxa"/>
            <w:right w:w="108" w:type="dxa"/>
          </w:tblCellMar>
        </w:tblPrEx>
        <w:trPr>
          <w:trHeight w:val="27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A0000001A1100061</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规费检查任务分配</w:t>
            </w:r>
          </w:p>
        </w:tc>
      </w:tr>
      <w:tr>
        <w:tblPrEx>
          <w:tblCellMar>
            <w:top w:w="0" w:type="dxa"/>
            <w:left w:w="108" w:type="dxa"/>
            <w:bottom w:w="0" w:type="dxa"/>
            <w:right w:w="108" w:type="dxa"/>
          </w:tblCellMar>
        </w:tblPrEx>
        <w:trPr>
          <w:trHeight w:val="27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A0000001A1100063</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规费检查审批</w:t>
            </w:r>
          </w:p>
        </w:tc>
      </w:tr>
      <w:tr>
        <w:tblPrEx>
          <w:tblCellMar>
            <w:top w:w="0" w:type="dxa"/>
            <w:left w:w="108" w:type="dxa"/>
            <w:bottom w:w="0" w:type="dxa"/>
            <w:right w:w="108" w:type="dxa"/>
          </w:tblCellMar>
        </w:tblPrEx>
        <w:trPr>
          <w:trHeight w:val="27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A0000001A1100060</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规费检查选案</w:t>
            </w:r>
          </w:p>
        </w:tc>
      </w:tr>
      <w:tr>
        <w:tblPrEx>
          <w:tblCellMar>
            <w:top w:w="0" w:type="dxa"/>
            <w:left w:w="108" w:type="dxa"/>
            <w:bottom w:w="0" w:type="dxa"/>
            <w:right w:w="108" w:type="dxa"/>
          </w:tblCellMar>
        </w:tblPrEx>
        <w:trPr>
          <w:trHeight w:val="27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A0000001A1100065</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规费检查执行</w:t>
            </w:r>
          </w:p>
        </w:tc>
      </w:tr>
      <w:tr>
        <w:tblPrEx>
          <w:tblCellMar>
            <w:top w:w="0" w:type="dxa"/>
            <w:left w:w="108" w:type="dxa"/>
            <w:bottom w:w="0" w:type="dxa"/>
            <w:right w:w="108" w:type="dxa"/>
          </w:tblCellMar>
        </w:tblPrEx>
        <w:trPr>
          <w:trHeight w:val="27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A0000001A1300172</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基金规费缴费评估(检查)实地核查通知书</w:t>
            </w:r>
          </w:p>
        </w:tc>
      </w:tr>
      <w:tr>
        <w:tblPrEx>
          <w:tblCellMar>
            <w:top w:w="0" w:type="dxa"/>
            <w:left w:w="108" w:type="dxa"/>
            <w:bottom w:w="0" w:type="dxa"/>
            <w:right w:w="108" w:type="dxa"/>
          </w:tblCellMar>
        </w:tblPrEx>
        <w:trPr>
          <w:trHeight w:val="27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A0000001A1200104</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 xml:space="preserve">税收（规费）违法行为处理 </w:t>
            </w:r>
          </w:p>
        </w:tc>
      </w:tr>
      <w:tr>
        <w:tblPrEx>
          <w:tblCellMar>
            <w:top w:w="0" w:type="dxa"/>
            <w:left w:w="108" w:type="dxa"/>
            <w:bottom w:w="0" w:type="dxa"/>
            <w:right w:w="108" w:type="dxa"/>
          </w:tblCellMar>
        </w:tblPrEx>
        <w:trPr>
          <w:trHeight w:val="27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A0000001A1200105</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税收（规费）违法行为处理终结</w:t>
            </w:r>
          </w:p>
        </w:tc>
      </w:tr>
      <w:tr>
        <w:tblPrEx>
          <w:tblCellMar>
            <w:top w:w="0" w:type="dxa"/>
            <w:left w:w="108" w:type="dxa"/>
            <w:bottom w:w="0" w:type="dxa"/>
            <w:right w:w="108" w:type="dxa"/>
          </w:tblCellMar>
        </w:tblPrEx>
        <w:trPr>
          <w:trHeight w:val="27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A0000001A1200103</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 xml:space="preserve">税收（规费）违法行为登记 </w:t>
            </w:r>
          </w:p>
        </w:tc>
      </w:tr>
      <w:tr>
        <w:tblPrEx>
          <w:tblCellMar>
            <w:top w:w="0" w:type="dxa"/>
            <w:left w:w="108" w:type="dxa"/>
            <w:bottom w:w="0" w:type="dxa"/>
            <w:right w:w="108" w:type="dxa"/>
          </w:tblCellMar>
        </w:tblPrEx>
        <w:trPr>
          <w:trHeight w:val="270" w:hRule="atLeast"/>
          <w:jc w:val="center"/>
        </w:trPr>
        <w:tc>
          <w:tcPr>
            <w:tcW w:w="2532" w:type="dxa"/>
            <w:tcBorders>
              <w:top w:val="nil"/>
              <w:left w:val="single" w:color="auto" w:sz="4" w:space="0"/>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A0000001A1200234</w:t>
            </w:r>
          </w:p>
        </w:tc>
        <w:tc>
          <w:tcPr>
            <w:tcW w:w="5954" w:type="dxa"/>
            <w:tcBorders>
              <w:top w:val="nil"/>
              <w:left w:val="nil"/>
              <w:bottom w:val="single" w:color="auto" w:sz="4" w:space="0"/>
              <w:right w:val="single" w:color="auto" w:sz="4" w:space="0"/>
            </w:tcBorders>
            <w:noWrap/>
            <w:vAlign w:val="center"/>
          </w:tcPr>
          <w:p>
            <w:pPr>
              <w:suppressAutoHyphens/>
              <w:spacing w:line="360" w:lineRule="auto"/>
              <w:jc w:val="center"/>
              <w:rPr>
                <w:rFonts w:ascii="Arial" w:hAnsi="Arial" w:cs="Arial"/>
                <w:szCs w:val="21"/>
              </w:rPr>
            </w:pPr>
            <w:r>
              <w:rPr>
                <w:rFonts w:ascii="Arial" w:hAnsi="Arial" w:cs="Arial"/>
                <w:szCs w:val="21"/>
              </w:rPr>
              <w:t>已登记税收（规费）违法行为信息处理</w:t>
            </w:r>
          </w:p>
        </w:tc>
      </w:tr>
    </w:tbl>
    <w:p>
      <w:pPr>
        <w:suppressAutoHyphens/>
        <w:spacing w:line="360" w:lineRule="auto"/>
        <w:ind w:firstLine="482" w:firstLineChars="200"/>
        <w:rPr>
          <w:rFonts w:ascii="Arial" w:hAnsi="Arial" w:cs="Arial"/>
          <w:b/>
          <w:bCs/>
          <w:color w:val="000000"/>
          <w:sz w:val="24"/>
        </w:rPr>
      </w:pPr>
      <w:r>
        <w:rPr>
          <w:rFonts w:ascii="Arial" w:hAnsi="Arial" w:cs="Arial"/>
          <w:b/>
          <w:bCs/>
          <w:color w:val="000000"/>
          <w:sz w:val="24"/>
        </w:rPr>
        <w:t>社保费法制业务域功能改造</w:t>
      </w:r>
    </w:p>
    <w:p>
      <w:pPr>
        <w:suppressAutoHyphens/>
        <w:spacing w:line="360" w:lineRule="auto"/>
        <w:ind w:firstLine="480"/>
        <w:rPr>
          <w:rFonts w:ascii="Arial" w:hAnsi="Arial" w:cs="Arial"/>
          <w:color w:val="000000"/>
          <w:sz w:val="24"/>
        </w:rPr>
      </w:pPr>
      <w:r>
        <w:rPr>
          <w:rFonts w:ascii="Arial" w:hAnsi="Arial" w:cs="Arial"/>
          <w:color w:val="000000"/>
          <w:sz w:val="24"/>
        </w:rPr>
        <w:t>在现有核心征管法制业务功能基础上，扩展违法违章行为判定费种和行为类别，针对社保费特有征纳行为，改造违法违章处理规则和流程。</w:t>
      </w:r>
    </w:p>
    <w:p>
      <w:pPr>
        <w:suppressAutoHyphens/>
        <w:spacing w:line="360" w:lineRule="auto"/>
        <w:ind w:firstLine="482" w:firstLineChars="200"/>
        <w:rPr>
          <w:rFonts w:ascii="Arial" w:hAnsi="Arial" w:cs="Arial"/>
          <w:b/>
          <w:bCs/>
          <w:color w:val="000000"/>
          <w:sz w:val="24"/>
        </w:rPr>
      </w:pPr>
      <w:r>
        <w:rPr>
          <w:rFonts w:ascii="Arial" w:hAnsi="Arial" w:cs="Arial"/>
          <w:b/>
          <w:bCs/>
          <w:color w:val="000000"/>
          <w:sz w:val="24"/>
        </w:rPr>
        <w:t>其他功能改造</w:t>
      </w:r>
    </w:p>
    <w:p>
      <w:pPr>
        <w:suppressAutoHyphens/>
        <w:spacing w:line="360" w:lineRule="auto"/>
        <w:ind w:firstLine="480"/>
        <w:rPr>
          <w:rFonts w:ascii="Arial" w:hAnsi="Arial" w:cs="Arial"/>
          <w:color w:val="000000"/>
          <w:sz w:val="24"/>
        </w:rPr>
      </w:pPr>
      <w:r>
        <w:rPr>
          <w:rFonts w:ascii="Arial" w:hAnsi="Arial" w:cs="Arial"/>
          <w:color w:val="000000"/>
          <w:sz w:val="24"/>
        </w:rPr>
        <w:t>围绕上述功能调整，系统还应在初始化，评估核查以及全局统计等方面的功能进行改造。改造的重点将集中在将规费费种设置及统计纳入到核心征管统一的业务范畴内，并按照统一模式进行操作。</w:t>
      </w:r>
    </w:p>
    <w:p>
      <w:pPr>
        <w:suppressAutoHyphens/>
        <w:spacing w:line="360" w:lineRule="auto"/>
        <w:ind w:firstLine="482" w:firstLineChars="200"/>
        <w:rPr>
          <w:rFonts w:ascii="Arial" w:hAnsi="Arial" w:cs="Arial"/>
          <w:b/>
          <w:bCs/>
          <w:color w:val="000000"/>
          <w:sz w:val="24"/>
        </w:rPr>
      </w:pPr>
      <w:r>
        <w:rPr>
          <w:rFonts w:ascii="Arial" w:hAnsi="Arial" w:cs="Arial"/>
          <w:b/>
          <w:bCs/>
          <w:color w:val="000000"/>
          <w:sz w:val="24"/>
        </w:rPr>
        <w:t>技术需求</w:t>
      </w:r>
    </w:p>
    <w:p>
      <w:pPr>
        <w:suppressAutoHyphens/>
        <w:spacing w:line="360" w:lineRule="auto"/>
        <w:ind w:firstLine="480"/>
        <w:rPr>
          <w:rFonts w:ascii="Arial" w:hAnsi="Arial" w:cs="Arial"/>
          <w:color w:val="000000"/>
          <w:sz w:val="24"/>
        </w:rPr>
      </w:pPr>
      <w:r>
        <w:rPr>
          <w:rFonts w:ascii="Arial" w:hAnsi="Arial" w:cs="Arial"/>
          <w:color w:val="000000"/>
          <w:sz w:val="24"/>
        </w:rPr>
        <w:t>根据社保费相关应用规划，应用系统的划分可以包括：管理子系统、征收子系统、信息共享平台、税库银系统、决策一包、决策二包、单位社保费管理客户端、委托代征系统等子系统。</w:t>
      </w:r>
    </w:p>
    <w:p>
      <w:pPr>
        <w:suppressAutoHyphens/>
        <w:spacing w:line="360" w:lineRule="auto"/>
        <w:ind w:firstLine="480"/>
        <w:rPr>
          <w:rFonts w:ascii="Arial" w:hAnsi="Arial" w:cs="Arial"/>
          <w:color w:val="000000"/>
          <w:sz w:val="24"/>
        </w:rPr>
      </w:pPr>
      <w:r>
        <w:rPr>
          <w:rFonts w:ascii="Arial" w:hAnsi="Arial" w:cs="Arial"/>
          <w:color w:val="000000"/>
          <w:sz w:val="24"/>
        </w:rPr>
        <w:drawing>
          <wp:inline distT="0" distB="0" distL="0" distR="0">
            <wp:extent cx="5057775" cy="2971800"/>
            <wp:effectExtent l="0" t="0" r="9525"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a:xfrm>
                      <a:off x="0" y="0"/>
                      <a:ext cx="5057775" cy="2971800"/>
                    </a:xfrm>
                    <a:prstGeom prst="rect">
                      <a:avLst/>
                    </a:prstGeom>
                    <a:noFill/>
                    <a:ln>
                      <a:noFill/>
                    </a:ln>
                  </pic:spPr>
                </pic:pic>
              </a:graphicData>
            </a:graphic>
          </wp:inline>
        </w:drawing>
      </w:r>
    </w:p>
    <w:p>
      <w:pPr>
        <w:suppressAutoHyphens/>
        <w:spacing w:line="360" w:lineRule="auto"/>
        <w:ind w:firstLine="480"/>
        <w:rPr>
          <w:rFonts w:ascii="Arial" w:hAnsi="Arial" w:cs="Arial"/>
          <w:color w:val="000000"/>
          <w:sz w:val="24"/>
        </w:rPr>
      </w:pPr>
      <w:r>
        <w:rPr>
          <w:rFonts w:ascii="Arial" w:hAnsi="Arial" w:cs="Arial"/>
          <w:color w:val="000000"/>
          <w:sz w:val="24"/>
        </w:rPr>
        <w:t>征收子系统完成社保费的征收管理，包括银行账户信息采集、三方协议采集及验证、缴费、退费、缓缴、对账等业务，并完成对社保费未及时足额缴纳等违法行为的相关处理。对接特色软件完成社保费缴纳业务。</w:t>
      </w:r>
    </w:p>
    <w:p>
      <w:pPr>
        <w:suppressAutoHyphens/>
        <w:spacing w:line="360" w:lineRule="auto"/>
        <w:ind w:firstLine="480"/>
        <w:rPr>
          <w:rFonts w:ascii="Arial" w:hAnsi="Arial" w:cs="Arial"/>
          <w:color w:val="000000"/>
          <w:sz w:val="24"/>
        </w:rPr>
      </w:pPr>
      <w:r>
        <w:rPr>
          <w:rFonts w:ascii="Arial" w:hAnsi="Arial" w:cs="Arial"/>
          <w:color w:val="000000"/>
          <w:sz w:val="24"/>
        </w:rPr>
        <w:t>委托代征系统包括灵活就业人员缴费功能；自然人远程缴费系统包含城乡居民缴费功能。</w:t>
      </w:r>
    </w:p>
    <w:p>
      <w:pPr>
        <w:suppressAutoHyphens/>
        <w:spacing w:line="360" w:lineRule="auto"/>
        <w:ind w:firstLine="482" w:firstLineChars="200"/>
        <w:rPr>
          <w:rFonts w:ascii="Arial" w:hAnsi="Arial" w:cs="Arial"/>
          <w:b/>
          <w:bCs/>
          <w:color w:val="000000"/>
          <w:sz w:val="24"/>
        </w:rPr>
      </w:pPr>
      <w:bookmarkStart w:id="22" w:name="_Toc526755137"/>
      <w:r>
        <w:rPr>
          <w:rFonts w:ascii="Arial" w:hAnsi="Arial" w:cs="Arial"/>
          <w:b/>
          <w:bCs/>
          <w:color w:val="000000"/>
          <w:sz w:val="24"/>
        </w:rPr>
        <w:t>技术实现架构</w:t>
      </w:r>
      <w:bookmarkEnd w:id="22"/>
    </w:p>
    <w:p>
      <w:pPr>
        <w:suppressAutoHyphens/>
        <w:spacing w:line="360" w:lineRule="auto"/>
        <w:ind w:firstLine="480"/>
        <w:rPr>
          <w:rFonts w:ascii="Arial" w:hAnsi="Arial" w:cs="Arial"/>
          <w:color w:val="000000"/>
          <w:sz w:val="24"/>
        </w:rPr>
      </w:pPr>
      <w:r>
        <w:rPr>
          <w:rFonts w:ascii="Arial" w:hAnsi="Arial" w:cs="Arial"/>
          <w:color w:val="000000"/>
          <w:sz w:val="24"/>
        </w:rPr>
        <w:t>本项目采用多层多级的体系结构，以J2EE应用服务器为基础，以面向服务为架构（SOA），结合其它的公共服务资源，组成一个强大的技术支撑平台。项目采用基于业务构件进行组装的开发模式，整个系统基本上各项业务均可解耦独立运行，分散了处理瓶颈。平台由分布在不同层次、提供各种服务的构件构成，按照服务组件在架构中的分布层次。分布于不同层次的构件提供不同的服务。</w:t>
      </w:r>
    </w:p>
    <w:p>
      <w:pPr>
        <w:suppressAutoHyphens/>
        <w:spacing w:line="360" w:lineRule="auto"/>
        <w:ind w:firstLine="482" w:firstLineChars="200"/>
        <w:rPr>
          <w:rFonts w:ascii="Arial" w:hAnsi="Arial" w:cs="Arial"/>
          <w:b/>
          <w:bCs/>
          <w:color w:val="000000"/>
          <w:sz w:val="24"/>
        </w:rPr>
      </w:pPr>
      <w:bookmarkStart w:id="23" w:name="_Toc526755138"/>
      <w:r>
        <w:rPr>
          <w:rFonts w:ascii="Arial" w:hAnsi="Arial" w:cs="Arial"/>
          <w:b/>
          <w:bCs/>
          <w:color w:val="000000"/>
          <w:sz w:val="24"/>
        </w:rPr>
        <w:t>系统集成架构</w:t>
      </w:r>
      <w:bookmarkEnd w:id="23"/>
    </w:p>
    <w:p>
      <w:pPr>
        <w:suppressAutoHyphens/>
        <w:spacing w:line="360" w:lineRule="auto"/>
        <w:ind w:firstLine="480"/>
        <w:rPr>
          <w:rFonts w:ascii="Arial" w:hAnsi="Arial" w:cs="Arial"/>
          <w:color w:val="000000"/>
          <w:sz w:val="24"/>
        </w:rPr>
      </w:pPr>
      <w:r>
        <w:rPr>
          <w:rFonts w:ascii="Arial" w:hAnsi="Arial" w:cs="Arial"/>
          <w:color w:val="000000"/>
          <w:sz w:val="24"/>
        </w:rPr>
        <w:t>系统集成架构设计中采用开放的成熟的集成技术，把系统公共的和各应用子系统专用的业务组件、数据资源按照一定的规范，逻辑地组合起来并部署到适当的技术平台上，使得各应用系统能够以适度的耦合关系集成为一体，达到在性能、软件复用和高度灵活性之间的协调统一。</w:t>
      </w:r>
    </w:p>
    <w:p>
      <w:pPr>
        <w:suppressAutoHyphens/>
        <w:spacing w:line="360" w:lineRule="auto"/>
        <w:ind w:firstLine="480"/>
        <w:rPr>
          <w:rFonts w:ascii="Arial" w:hAnsi="Arial" w:cs="Arial"/>
          <w:color w:val="000000"/>
          <w:sz w:val="24"/>
        </w:rPr>
      </w:pPr>
      <w:r>
        <w:rPr>
          <w:rFonts w:ascii="Arial" w:hAnsi="Arial" w:cs="Arial"/>
          <w:color w:val="000000"/>
          <w:sz w:val="24"/>
        </w:rPr>
        <w:t>门户通过使用门户服务器提供的目录、内容管理、个性化、认证与授权等服务，把现有系统和新建系统整合到一起，为用户提供一个使用所有应用系统的统一入口点，方便用户使用。并通过门户服务器所提供的服务，实现统一用户管理、单点登录、访问控制、授权管理、规则管理、委托管理及个性化定制。信息门户应当具有用户管理、个性化定制、安全权限管理、分级管理等功能。</w:t>
      </w:r>
    </w:p>
    <w:p>
      <w:pPr>
        <w:suppressAutoHyphens/>
        <w:spacing w:line="360" w:lineRule="auto"/>
        <w:ind w:firstLine="480"/>
        <w:rPr>
          <w:rFonts w:ascii="Arial" w:hAnsi="Arial" w:cs="Arial"/>
          <w:color w:val="000000"/>
          <w:sz w:val="24"/>
        </w:rPr>
      </w:pPr>
      <w:r>
        <w:rPr>
          <w:rFonts w:ascii="Arial" w:hAnsi="Arial" w:cs="Arial"/>
          <w:color w:val="000000"/>
          <w:sz w:val="24"/>
        </w:rPr>
        <w:t>本地门户采用SSO（单点登录）技术，用户只需要进行一次身份认证，就可以访问到所有的授权应用。用户在进入门户时进行身份认证后，再访问其它门户应用系统时不再进行多次登录。为此，需要在系统中，建立一个统一的用户档案存储机制，用来管理和存储用户的档案信息。对于以前存在的系统，需要将用户档案从各个系统中抽取出来，并根据权限模型，将这些数据迁移到统一的用户档案管理系统中。可以使用LDAP（Lightweight Directory Acess Protocol）目录服务或数据库来保存用户档案，建议使用LDAP来保存用户档案。</w:t>
      </w:r>
    </w:p>
    <w:p>
      <w:pPr>
        <w:suppressAutoHyphens/>
        <w:spacing w:line="360" w:lineRule="auto"/>
        <w:ind w:firstLine="480"/>
        <w:rPr>
          <w:rFonts w:ascii="Arial" w:hAnsi="Arial" w:cs="Arial"/>
          <w:color w:val="000000"/>
          <w:sz w:val="24"/>
        </w:rPr>
      </w:pPr>
      <w:r>
        <w:rPr>
          <w:rFonts w:ascii="Arial" w:hAnsi="Arial" w:cs="Arial"/>
          <w:color w:val="000000"/>
          <w:sz w:val="24"/>
        </w:rPr>
        <w:t>在系统中，建立统一的用户档案管理机制，包括对实现、删除用户以及对用户的授权等等。在核心业务平台中建立一个统一的用户认证模块，任何系统的用户登录时都需要调用该模块来完成对用户身份的认证工作。对于原有的系统可以保留其原有的登录系统，但必须要进行改造，并通过调用核心业务平台对外提供的用户认证接口。</w:t>
      </w:r>
    </w:p>
    <w:p>
      <w:pPr>
        <w:suppressAutoHyphens/>
        <w:spacing w:line="360" w:lineRule="auto"/>
        <w:ind w:firstLine="480"/>
        <w:rPr>
          <w:rFonts w:ascii="Arial" w:hAnsi="Arial" w:cs="Arial"/>
          <w:color w:val="000000"/>
          <w:sz w:val="24"/>
        </w:rPr>
      </w:pPr>
      <w:r>
        <w:rPr>
          <w:rFonts w:ascii="Arial" w:hAnsi="Arial" w:cs="Arial"/>
          <w:color w:val="000000"/>
          <w:sz w:val="24"/>
        </w:rPr>
        <w:t>建立应用集成平台，实现平台与业务逻辑的解耦，业务逻辑变化和部署不影响平台。通过服务协议支配软件进行业务数据交互。</w:t>
      </w:r>
    </w:p>
    <w:p>
      <w:pPr>
        <w:suppressAutoHyphens/>
        <w:spacing w:line="360" w:lineRule="auto"/>
        <w:ind w:firstLine="482" w:firstLineChars="200"/>
        <w:rPr>
          <w:rFonts w:ascii="Arial" w:hAnsi="Arial" w:cs="Arial"/>
          <w:b/>
          <w:bCs/>
          <w:color w:val="000000"/>
          <w:sz w:val="24"/>
        </w:rPr>
      </w:pPr>
      <w:bookmarkStart w:id="24" w:name="_Toc526755139"/>
      <w:r>
        <w:rPr>
          <w:rFonts w:ascii="Arial" w:hAnsi="Arial" w:cs="Arial"/>
          <w:b/>
          <w:bCs/>
          <w:color w:val="000000"/>
          <w:sz w:val="24"/>
        </w:rPr>
        <w:t>系统数据架构</w:t>
      </w:r>
      <w:bookmarkEnd w:id="24"/>
    </w:p>
    <w:p>
      <w:pPr>
        <w:suppressAutoHyphens/>
        <w:spacing w:line="360" w:lineRule="auto"/>
        <w:ind w:firstLine="480"/>
        <w:rPr>
          <w:rFonts w:ascii="Arial" w:hAnsi="Arial" w:cs="Arial"/>
          <w:color w:val="000000"/>
          <w:sz w:val="24"/>
        </w:rPr>
      </w:pPr>
      <w:r>
        <w:rPr>
          <w:rFonts w:ascii="Arial" w:hAnsi="Arial" w:cs="Arial"/>
          <w:color w:val="000000"/>
          <w:sz w:val="24"/>
        </w:rPr>
        <w:t>数据实行集中统一的管理模式，提高数据质量，实现信息资源的合理利用和高度集中与共享以保证各部门的信息共享，从而使信息资源规划集中在共享数据库的标准化、规范化设计上；规范化的协调和设计上。</w:t>
      </w:r>
    </w:p>
    <w:p>
      <w:pPr>
        <w:suppressAutoHyphens/>
        <w:spacing w:line="360" w:lineRule="auto"/>
        <w:ind w:firstLine="480"/>
        <w:rPr>
          <w:rFonts w:ascii="Arial" w:hAnsi="Arial" w:cs="Arial"/>
          <w:color w:val="000000"/>
          <w:sz w:val="24"/>
        </w:rPr>
      </w:pPr>
      <w:r>
        <w:rPr>
          <w:rFonts w:ascii="Arial" w:hAnsi="Arial" w:cs="Arial"/>
          <w:color w:val="000000"/>
          <w:sz w:val="24"/>
        </w:rPr>
        <w:t>遵循金税三期的总体规划中 “生产系统与查询系统相分离”的指导思想，规划科学、合理的数据存储分布并加以实施，适应生产业务、统计查询和决策分析的发展需要。</w:t>
      </w:r>
    </w:p>
    <w:p>
      <w:pPr>
        <w:suppressAutoHyphens/>
        <w:spacing w:line="360" w:lineRule="auto"/>
        <w:ind w:firstLine="480"/>
        <w:rPr>
          <w:rFonts w:ascii="Arial" w:hAnsi="Arial" w:cs="Arial"/>
          <w:color w:val="000000"/>
          <w:sz w:val="24"/>
        </w:rPr>
      </w:pPr>
      <w:r>
        <w:rPr>
          <w:rFonts w:ascii="Arial" w:hAnsi="Arial" w:cs="Arial"/>
          <w:color w:val="000000"/>
          <w:sz w:val="24"/>
        </w:rPr>
        <w:t>数据架构设计应遵循以下策略：</w:t>
      </w:r>
    </w:p>
    <w:p>
      <w:pPr>
        <w:suppressAutoHyphens/>
        <w:spacing w:line="360" w:lineRule="auto"/>
        <w:ind w:firstLine="480"/>
        <w:rPr>
          <w:rFonts w:ascii="Arial" w:hAnsi="Arial" w:cs="Arial"/>
          <w:color w:val="000000"/>
          <w:sz w:val="24"/>
        </w:rPr>
      </w:pPr>
      <w:r>
        <w:rPr>
          <w:rFonts w:ascii="Arial" w:hAnsi="Arial" w:cs="Arial"/>
          <w:color w:val="000000"/>
          <w:sz w:val="24"/>
        </w:rPr>
        <w:t>“生产库、查询库、历史库”三库分离。</w:t>
      </w:r>
    </w:p>
    <w:p>
      <w:pPr>
        <w:suppressAutoHyphens/>
        <w:spacing w:line="360" w:lineRule="auto"/>
        <w:ind w:firstLine="480"/>
        <w:rPr>
          <w:rFonts w:ascii="Arial" w:hAnsi="Arial" w:cs="Arial"/>
          <w:color w:val="000000"/>
          <w:sz w:val="24"/>
        </w:rPr>
      </w:pPr>
      <w:r>
        <w:rPr>
          <w:rFonts w:ascii="Arial" w:hAnsi="Arial" w:cs="Arial"/>
          <w:color w:val="000000"/>
          <w:sz w:val="24"/>
        </w:rPr>
        <w:t>生产库与查询库同构，且数据（准）实时同步。</w:t>
      </w:r>
    </w:p>
    <w:p>
      <w:pPr>
        <w:suppressAutoHyphens/>
        <w:spacing w:line="360" w:lineRule="auto"/>
        <w:ind w:firstLine="480"/>
        <w:rPr>
          <w:rFonts w:ascii="Arial" w:hAnsi="Arial" w:cs="Arial"/>
          <w:color w:val="000000"/>
          <w:sz w:val="24"/>
        </w:rPr>
      </w:pPr>
      <w:r>
        <w:rPr>
          <w:rFonts w:ascii="Arial" w:hAnsi="Arial" w:cs="Arial"/>
          <w:color w:val="000000"/>
          <w:sz w:val="24"/>
        </w:rPr>
        <w:t>外部数据经缓存后再进入业务库。</w:t>
      </w:r>
    </w:p>
    <w:p>
      <w:pPr>
        <w:suppressAutoHyphens/>
        <w:spacing w:line="360" w:lineRule="auto"/>
        <w:ind w:firstLine="480"/>
        <w:rPr>
          <w:rFonts w:ascii="Arial" w:hAnsi="Arial" w:cs="Arial"/>
          <w:color w:val="000000"/>
          <w:sz w:val="24"/>
        </w:rPr>
      </w:pPr>
      <w:r>
        <w:rPr>
          <w:rFonts w:ascii="Arial" w:hAnsi="Arial" w:cs="Arial"/>
          <w:color w:val="000000"/>
          <w:sz w:val="24"/>
        </w:rPr>
        <w:t>全局流程及规则数据可单独存放。</w:t>
      </w:r>
    </w:p>
    <w:p>
      <w:pPr>
        <w:suppressAutoHyphens/>
        <w:spacing w:line="360" w:lineRule="auto"/>
        <w:ind w:firstLine="480"/>
        <w:rPr>
          <w:rFonts w:ascii="Arial" w:hAnsi="Arial" w:cs="Arial"/>
          <w:color w:val="000000"/>
          <w:sz w:val="24"/>
        </w:rPr>
      </w:pPr>
      <w:r>
        <w:rPr>
          <w:rFonts w:ascii="Arial" w:hAnsi="Arial" w:cs="Arial"/>
          <w:color w:val="000000"/>
          <w:sz w:val="24"/>
        </w:rPr>
        <w:t>四、项目实施要求</w:t>
      </w:r>
    </w:p>
    <w:p>
      <w:pPr>
        <w:suppressAutoHyphens/>
        <w:spacing w:line="360" w:lineRule="auto"/>
        <w:ind w:firstLine="480"/>
        <w:rPr>
          <w:rFonts w:ascii="Arial" w:hAnsi="Arial" w:cs="Arial"/>
          <w:color w:val="000000"/>
          <w:sz w:val="24"/>
        </w:rPr>
      </w:pPr>
      <w:r>
        <w:rPr>
          <w:rFonts w:ascii="Arial" w:hAnsi="Arial" w:cs="Arial"/>
          <w:color w:val="000000"/>
          <w:sz w:val="24"/>
        </w:rPr>
        <w:t>软件升级完善项目总体遵循“标准统一、灵活兼容、开放共享、安全易用、稳定可靠、统一实施”的原则。</w:t>
      </w:r>
    </w:p>
    <w:p>
      <w:pPr>
        <w:suppressAutoHyphens/>
        <w:spacing w:line="360" w:lineRule="auto"/>
        <w:ind w:firstLine="480"/>
        <w:rPr>
          <w:rFonts w:ascii="Arial" w:hAnsi="Arial" w:cs="Arial"/>
          <w:color w:val="000000"/>
          <w:sz w:val="24"/>
        </w:rPr>
      </w:pPr>
      <w:r>
        <w:rPr>
          <w:rFonts w:ascii="Arial" w:hAnsi="Arial" w:cs="Arial"/>
          <w:color w:val="000000"/>
          <w:sz w:val="24"/>
        </w:rPr>
        <w:t>1、统一性原则</w:t>
      </w:r>
    </w:p>
    <w:p>
      <w:pPr>
        <w:suppressAutoHyphens/>
        <w:spacing w:line="360" w:lineRule="auto"/>
        <w:ind w:firstLine="480"/>
        <w:rPr>
          <w:rFonts w:ascii="Arial" w:hAnsi="Arial" w:cs="Arial"/>
          <w:color w:val="000000"/>
          <w:sz w:val="24"/>
        </w:rPr>
      </w:pPr>
      <w:r>
        <w:rPr>
          <w:rFonts w:ascii="Arial" w:hAnsi="Arial" w:cs="Arial"/>
          <w:color w:val="000000"/>
          <w:sz w:val="24"/>
        </w:rPr>
        <w:t>按纳税人账户的思想统一设计征管系统数据模型；</w:t>
      </w:r>
    </w:p>
    <w:p>
      <w:pPr>
        <w:suppressAutoHyphens/>
        <w:spacing w:line="360" w:lineRule="auto"/>
        <w:ind w:firstLine="480"/>
        <w:rPr>
          <w:rFonts w:ascii="Arial" w:hAnsi="Arial" w:cs="Arial"/>
          <w:color w:val="000000"/>
          <w:sz w:val="24"/>
        </w:rPr>
      </w:pPr>
      <w:r>
        <w:rPr>
          <w:rFonts w:ascii="Arial" w:hAnsi="Arial" w:cs="Arial"/>
          <w:color w:val="000000"/>
          <w:sz w:val="24"/>
        </w:rPr>
        <w:t>按统一的思路规划数据分布、数据交换；</w:t>
      </w:r>
    </w:p>
    <w:p>
      <w:pPr>
        <w:suppressAutoHyphens/>
        <w:spacing w:line="360" w:lineRule="auto"/>
        <w:ind w:firstLine="480"/>
        <w:rPr>
          <w:rFonts w:ascii="Arial" w:hAnsi="Arial" w:cs="Arial"/>
          <w:color w:val="000000"/>
          <w:sz w:val="24"/>
        </w:rPr>
      </w:pPr>
      <w:r>
        <w:rPr>
          <w:rFonts w:ascii="Arial" w:hAnsi="Arial" w:cs="Arial"/>
          <w:color w:val="000000"/>
          <w:sz w:val="24"/>
        </w:rPr>
        <w:t>统一的数据对象命名规则；</w:t>
      </w:r>
    </w:p>
    <w:p>
      <w:pPr>
        <w:suppressAutoHyphens/>
        <w:spacing w:line="360" w:lineRule="auto"/>
        <w:ind w:firstLine="480"/>
        <w:rPr>
          <w:rFonts w:ascii="Arial" w:hAnsi="Arial" w:cs="Arial"/>
          <w:color w:val="000000"/>
          <w:sz w:val="24"/>
        </w:rPr>
      </w:pPr>
      <w:r>
        <w:rPr>
          <w:rFonts w:ascii="Arial" w:hAnsi="Arial" w:cs="Arial"/>
          <w:color w:val="000000"/>
          <w:sz w:val="24"/>
        </w:rPr>
        <w:t>统一的数据分区方案。</w:t>
      </w:r>
    </w:p>
    <w:p>
      <w:pPr>
        <w:suppressAutoHyphens/>
        <w:spacing w:line="360" w:lineRule="auto"/>
        <w:ind w:firstLine="480"/>
        <w:rPr>
          <w:rFonts w:ascii="Arial" w:hAnsi="Arial" w:cs="Arial"/>
          <w:color w:val="000000"/>
          <w:sz w:val="24"/>
        </w:rPr>
      </w:pPr>
      <w:r>
        <w:rPr>
          <w:rFonts w:ascii="Arial" w:hAnsi="Arial" w:cs="Arial"/>
          <w:color w:val="000000"/>
          <w:sz w:val="24"/>
        </w:rPr>
        <w:t>2、高性能原则</w:t>
      </w:r>
    </w:p>
    <w:p>
      <w:pPr>
        <w:suppressAutoHyphens/>
        <w:spacing w:line="360" w:lineRule="auto"/>
        <w:ind w:firstLine="480"/>
        <w:rPr>
          <w:rFonts w:ascii="Arial" w:hAnsi="Arial" w:cs="Arial"/>
          <w:color w:val="000000"/>
          <w:sz w:val="24"/>
        </w:rPr>
      </w:pPr>
      <w:r>
        <w:rPr>
          <w:rFonts w:ascii="Arial" w:hAnsi="Arial" w:cs="Arial"/>
          <w:color w:val="000000"/>
          <w:sz w:val="24"/>
        </w:rPr>
        <w:t>在数据模型设计的层面支持活动数据和非活动数据的分离；</w:t>
      </w:r>
    </w:p>
    <w:p>
      <w:pPr>
        <w:suppressAutoHyphens/>
        <w:spacing w:line="360" w:lineRule="auto"/>
        <w:ind w:firstLine="480"/>
        <w:rPr>
          <w:rFonts w:ascii="Arial" w:hAnsi="Arial" w:cs="Arial"/>
          <w:color w:val="000000"/>
          <w:sz w:val="24"/>
        </w:rPr>
      </w:pPr>
      <w:r>
        <w:rPr>
          <w:rFonts w:ascii="Arial" w:hAnsi="Arial" w:cs="Arial"/>
          <w:color w:val="000000"/>
          <w:sz w:val="24"/>
        </w:rPr>
        <w:t>在数据模型设计的层面支持税务活动数据、业务表单数据、核心数据的分离；</w:t>
      </w:r>
    </w:p>
    <w:p>
      <w:pPr>
        <w:suppressAutoHyphens/>
        <w:spacing w:line="360" w:lineRule="auto"/>
        <w:ind w:firstLine="480"/>
        <w:rPr>
          <w:rFonts w:ascii="Arial" w:hAnsi="Arial" w:cs="Arial"/>
          <w:color w:val="000000"/>
          <w:sz w:val="24"/>
        </w:rPr>
      </w:pPr>
      <w:r>
        <w:rPr>
          <w:rFonts w:ascii="Arial" w:hAnsi="Arial" w:cs="Arial"/>
          <w:color w:val="000000"/>
          <w:sz w:val="24"/>
        </w:rPr>
        <w:t>3、简单性原则</w:t>
      </w:r>
    </w:p>
    <w:p>
      <w:pPr>
        <w:suppressAutoHyphens/>
        <w:spacing w:line="360" w:lineRule="auto"/>
        <w:ind w:firstLine="480"/>
        <w:rPr>
          <w:rFonts w:ascii="Arial" w:hAnsi="Arial" w:cs="Arial"/>
          <w:color w:val="000000"/>
          <w:sz w:val="24"/>
        </w:rPr>
      </w:pPr>
      <w:r>
        <w:rPr>
          <w:rFonts w:ascii="Arial" w:hAnsi="Arial" w:cs="Arial"/>
          <w:color w:val="000000"/>
          <w:sz w:val="24"/>
        </w:rPr>
        <w:t>数据分布原则简单；</w:t>
      </w:r>
    </w:p>
    <w:p>
      <w:pPr>
        <w:suppressAutoHyphens/>
        <w:spacing w:line="360" w:lineRule="auto"/>
        <w:ind w:firstLine="480"/>
        <w:rPr>
          <w:rFonts w:ascii="Arial" w:hAnsi="Arial" w:cs="Arial"/>
          <w:color w:val="000000"/>
          <w:sz w:val="24"/>
        </w:rPr>
      </w:pPr>
      <w:r>
        <w:rPr>
          <w:rFonts w:ascii="Arial" w:hAnsi="Arial" w:cs="Arial"/>
          <w:color w:val="000000"/>
          <w:sz w:val="24"/>
        </w:rPr>
        <w:t>数据交换方案简单，可用型强；</w:t>
      </w:r>
    </w:p>
    <w:p>
      <w:pPr>
        <w:suppressAutoHyphens/>
        <w:spacing w:line="360" w:lineRule="auto"/>
        <w:ind w:firstLine="480"/>
        <w:rPr>
          <w:rFonts w:ascii="Arial" w:hAnsi="Arial" w:cs="Arial"/>
          <w:color w:val="000000"/>
          <w:sz w:val="24"/>
        </w:rPr>
      </w:pPr>
      <w:r>
        <w:rPr>
          <w:rFonts w:ascii="Arial" w:hAnsi="Arial" w:cs="Arial"/>
          <w:color w:val="000000"/>
          <w:sz w:val="24"/>
        </w:rPr>
        <w:t>数据模型设计及基于数据模型的应用实现简单。</w:t>
      </w:r>
    </w:p>
    <w:p>
      <w:pPr>
        <w:suppressAutoHyphens/>
        <w:spacing w:line="360" w:lineRule="auto"/>
        <w:ind w:firstLine="480"/>
        <w:rPr>
          <w:rFonts w:ascii="Arial" w:hAnsi="Arial" w:cs="Arial"/>
          <w:color w:val="000000"/>
          <w:sz w:val="24"/>
        </w:rPr>
      </w:pPr>
      <w:r>
        <w:rPr>
          <w:rFonts w:ascii="Arial" w:hAnsi="Arial" w:cs="Arial"/>
          <w:color w:val="000000"/>
          <w:sz w:val="24"/>
        </w:rPr>
        <w:t>4、系统分库原则</w:t>
      </w:r>
    </w:p>
    <w:p>
      <w:pPr>
        <w:suppressAutoHyphens/>
        <w:spacing w:line="360" w:lineRule="auto"/>
        <w:ind w:firstLine="480"/>
        <w:rPr>
          <w:rFonts w:ascii="Arial" w:hAnsi="Arial" w:cs="Arial"/>
          <w:color w:val="000000"/>
          <w:sz w:val="24"/>
        </w:rPr>
      </w:pPr>
      <w:r>
        <w:rPr>
          <w:rFonts w:ascii="Arial" w:hAnsi="Arial" w:cs="Arial"/>
          <w:color w:val="000000"/>
          <w:sz w:val="24"/>
        </w:rPr>
        <w:t>数据架构的数据分布，遵循核心征管的应用架构，按应用系统进行架构分库设计，重点解决共享数据和私有数据的分布设计。</w:t>
      </w:r>
    </w:p>
    <w:p>
      <w:pPr>
        <w:suppressAutoHyphens/>
        <w:spacing w:line="360" w:lineRule="auto"/>
        <w:ind w:firstLine="480"/>
        <w:rPr>
          <w:rFonts w:ascii="Arial" w:hAnsi="Arial" w:cs="Arial"/>
          <w:color w:val="000000"/>
          <w:sz w:val="24"/>
        </w:rPr>
      </w:pPr>
      <w:r>
        <w:rPr>
          <w:rFonts w:ascii="Arial" w:hAnsi="Arial" w:cs="Arial"/>
          <w:color w:val="000000"/>
          <w:sz w:val="24"/>
        </w:rPr>
        <w:t>5、生产库和查询库分离原则</w:t>
      </w:r>
    </w:p>
    <w:p>
      <w:pPr>
        <w:suppressAutoHyphens/>
        <w:spacing w:line="360" w:lineRule="auto"/>
        <w:ind w:firstLine="480"/>
        <w:rPr>
          <w:rFonts w:ascii="Arial" w:hAnsi="Arial" w:cs="Arial"/>
          <w:color w:val="000000"/>
          <w:sz w:val="24"/>
        </w:rPr>
      </w:pPr>
      <w:r>
        <w:rPr>
          <w:rFonts w:ascii="Arial" w:hAnsi="Arial" w:cs="Arial"/>
          <w:color w:val="000000"/>
          <w:sz w:val="24"/>
        </w:rPr>
        <w:t>将生产数据和查询数据分别部署在不同的数据库上，以确保生产交易型业务稳定高效地运行，不受查询统计应用的影响。</w:t>
      </w:r>
    </w:p>
    <w:p>
      <w:pPr>
        <w:suppressAutoHyphens/>
        <w:spacing w:line="360" w:lineRule="auto"/>
        <w:ind w:firstLine="480"/>
        <w:rPr>
          <w:rFonts w:ascii="Arial" w:hAnsi="Arial" w:cs="Arial"/>
          <w:color w:val="000000"/>
          <w:sz w:val="24"/>
        </w:rPr>
      </w:pPr>
      <w:r>
        <w:rPr>
          <w:rFonts w:ascii="Arial" w:hAnsi="Arial" w:cs="Arial"/>
          <w:color w:val="000000"/>
          <w:sz w:val="24"/>
        </w:rPr>
        <w:t>6、税务主数据集中管理原则</w:t>
      </w:r>
    </w:p>
    <w:p>
      <w:pPr>
        <w:suppressAutoHyphens/>
        <w:spacing w:line="360" w:lineRule="auto"/>
        <w:ind w:firstLine="480"/>
        <w:rPr>
          <w:rFonts w:ascii="Arial" w:hAnsi="Arial" w:cs="Arial"/>
          <w:color w:val="000000"/>
          <w:sz w:val="24"/>
        </w:rPr>
      </w:pPr>
      <w:r>
        <w:rPr>
          <w:rFonts w:ascii="Arial" w:hAnsi="Arial" w:cs="Arial"/>
          <w:color w:val="000000"/>
          <w:sz w:val="24"/>
        </w:rPr>
        <w:t>税务主数据指纳税人基本信息、纳税人状态信息、代码信息等国地税税收业务实体的数据，它们被核心征管各子系统重复使用。为保证主数据的一致，设计独立的主数据存储，作为集中管理的信息资源。</w:t>
      </w:r>
    </w:p>
    <w:p>
      <w:pPr>
        <w:suppressAutoHyphens/>
        <w:spacing w:line="360" w:lineRule="auto"/>
        <w:ind w:firstLine="480"/>
        <w:rPr>
          <w:rFonts w:ascii="Arial" w:hAnsi="Arial" w:cs="Arial"/>
          <w:color w:val="000000"/>
          <w:sz w:val="24"/>
        </w:rPr>
      </w:pPr>
      <w:r>
        <w:rPr>
          <w:rFonts w:ascii="Arial" w:hAnsi="Arial" w:cs="Arial"/>
          <w:color w:val="000000"/>
          <w:sz w:val="24"/>
        </w:rPr>
        <w:t>五、项目验收要求</w:t>
      </w:r>
    </w:p>
    <w:p>
      <w:pPr>
        <w:suppressAutoHyphens/>
        <w:spacing w:line="360" w:lineRule="auto"/>
        <w:ind w:firstLine="480"/>
        <w:rPr>
          <w:rFonts w:ascii="Arial" w:hAnsi="Arial" w:cs="Arial"/>
          <w:color w:val="000000"/>
          <w:sz w:val="24"/>
        </w:rPr>
      </w:pPr>
      <w:r>
        <w:rPr>
          <w:rFonts w:ascii="Arial" w:hAnsi="Arial" w:cs="Arial"/>
          <w:color w:val="000000"/>
          <w:sz w:val="24"/>
        </w:rPr>
        <w:t>征收子系统部署安装完毕，系统运行可靠，性能良好，能够满足业务正常运行要求。部署内容包括：前置系统，应用平台，数据库三个部分。验收范围包括：网络联通，安全策略配置，应用数据交换正常。</w:t>
      </w:r>
    </w:p>
    <w:p>
      <w:pPr>
        <w:suppressAutoHyphens/>
        <w:spacing w:line="360" w:lineRule="auto"/>
        <w:ind w:firstLine="480"/>
        <w:rPr>
          <w:rFonts w:ascii="Arial" w:hAnsi="Arial" w:cs="Arial"/>
          <w:color w:val="000000"/>
          <w:sz w:val="24"/>
        </w:rPr>
      </w:pPr>
      <w:r>
        <w:rPr>
          <w:rFonts w:ascii="Arial" w:hAnsi="Arial" w:cs="Arial"/>
          <w:color w:val="000000"/>
          <w:sz w:val="24"/>
        </w:rPr>
        <w:t>六、项目技术支持服务要求</w:t>
      </w:r>
    </w:p>
    <w:p>
      <w:pPr>
        <w:suppressAutoHyphens/>
        <w:spacing w:line="360" w:lineRule="auto"/>
        <w:ind w:firstLine="480"/>
        <w:rPr>
          <w:rFonts w:ascii="Arial" w:hAnsi="Arial" w:cs="Arial"/>
          <w:color w:val="000000"/>
          <w:sz w:val="24"/>
        </w:rPr>
      </w:pPr>
      <w:r>
        <w:rPr>
          <w:rFonts w:ascii="Arial" w:hAnsi="Arial" w:cs="Arial"/>
          <w:color w:val="000000"/>
          <w:sz w:val="24"/>
        </w:rPr>
        <w:t>本项目成立由招标方、中标方共同组成的项目管理机构，负责整个项目的实施工作。中标方的专职项目团队必须严格遵守国家的政策法规，执行项目管理机构的各项规章制度，服从管理和调度，认真履行工作职责，圆满完成工作任务。</w:t>
      </w:r>
    </w:p>
    <w:p>
      <w:pPr>
        <w:suppressAutoHyphens/>
        <w:spacing w:line="360" w:lineRule="auto"/>
        <w:ind w:firstLine="480"/>
        <w:rPr>
          <w:rFonts w:ascii="Arial" w:hAnsi="Arial" w:cs="Arial"/>
          <w:color w:val="000000"/>
          <w:sz w:val="24"/>
        </w:rPr>
      </w:pPr>
      <w:r>
        <w:rPr>
          <w:rFonts w:ascii="Arial" w:hAnsi="Arial" w:cs="Arial"/>
          <w:color w:val="000000"/>
          <w:sz w:val="24"/>
        </w:rPr>
        <w:t>中标方应在项目开始时提交项目参与人员名单，经招标方确认。中标方应保证项目组成员的稳定性，如特殊情况需要调整项目组成员的，应提前一个月书面通知招标方，并获得招标方的确认后才能安排调整。</w:t>
      </w:r>
    </w:p>
    <w:p>
      <w:pPr>
        <w:suppressAutoHyphens/>
        <w:spacing w:line="360" w:lineRule="auto"/>
        <w:ind w:firstLine="480"/>
        <w:rPr>
          <w:rFonts w:ascii="Arial" w:hAnsi="Arial" w:cs="Arial"/>
          <w:color w:val="000000"/>
          <w:sz w:val="24"/>
        </w:rPr>
      </w:pPr>
      <w:r>
        <w:rPr>
          <w:rFonts w:ascii="Arial" w:hAnsi="Arial" w:cs="Arial"/>
          <w:color w:val="000000"/>
          <w:sz w:val="24"/>
        </w:rPr>
        <w:t>中标方必须在项目过程中，选派工作责任心强、技术水平高、业务熟练、管理经验丰富的人员专职参加该项目。项目实施人员应与投标文件中所提供的人员名单相符，不经招标人许可随意变更，招标人有权追究投标人责任，并采取相应处罚措施。</w:t>
      </w:r>
    </w:p>
    <w:p>
      <w:pPr>
        <w:suppressAutoHyphens/>
        <w:spacing w:line="360" w:lineRule="auto"/>
        <w:ind w:firstLine="480"/>
        <w:rPr>
          <w:rFonts w:ascii="Arial" w:hAnsi="Arial" w:cs="Arial"/>
          <w:color w:val="000000"/>
          <w:sz w:val="24"/>
        </w:rPr>
      </w:pPr>
      <w:bookmarkStart w:id="25" w:name="_Toc481069134"/>
      <w:bookmarkStart w:id="26" w:name="_Toc14220"/>
      <w:bookmarkStart w:id="27" w:name="_Toc2829"/>
      <w:bookmarkStart w:id="28" w:name="_Toc481052185"/>
      <w:r>
        <w:rPr>
          <w:rFonts w:ascii="Arial" w:hAnsi="Arial" w:cs="Arial"/>
          <w:color w:val="000000"/>
          <w:sz w:val="24"/>
        </w:rPr>
        <w:t>项目成员应熟练掌握技术技能，对税务知识有清晰的认识，各项目小组需具备不同的专业人员，项目成员分工应合理。</w:t>
      </w:r>
    </w:p>
    <w:p>
      <w:pPr>
        <w:suppressAutoHyphens/>
        <w:spacing w:line="360" w:lineRule="auto"/>
        <w:ind w:firstLine="480"/>
        <w:rPr>
          <w:rFonts w:ascii="Arial" w:hAnsi="Arial" w:cs="Arial"/>
          <w:color w:val="000000"/>
          <w:sz w:val="24"/>
        </w:rPr>
      </w:pPr>
      <w:r>
        <w:rPr>
          <w:rFonts w:ascii="Arial" w:hAnsi="Arial" w:cs="Arial"/>
          <w:color w:val="000000"/>
          <w:sz w:val="24"/>
        </w:rPr>
        <w:t>招标方如认为中标方的项目组成员达不到要求，有权要求投标人更换，中标方必须在一周之内调换符合招标方要求的项目组成员。</w:t>
      </w:r>
      <w:bookmarkEnd w:id="25"/>
      <w:bookmarkEnd w:id="26"/>
      <w:bookmarkEnd w:id="27"/>
      <w:bookmarkEnd w:id="28"/>
    </w:p>
    <w:p>
      <w:pPr>
        <w:suppressAutoHyphens/>
        <w:spacing w:line="360" w:lineRule="auto"/>
        <w:ind w:firstLine="480"/>
        <w:rPr>
          <w:rFonts w:ascii="Arial" w:hAnsi="Arial" w:cs="Arial"/>
          <w:color w:val="000000"/>
          <w:sz w:val="24"/>
        </w:rPr>
      </w:pPr>
      <w:r>
        <w:rPr>
          <w:rFonts w:ascii="Arial" w:hAnsi="Arial" w:cs="Arial"/>
          <w:color w:val="000000"/>
          <w:sz w:val="24"/>
        </w:rPr>
        <w:t>七、税收信息化项目开发和应用管理工作要求</w:t>
      </w:r>
    </w:p>
    <w:p>
      <w:pPr>
        <w:suppressAutoHyphens/>
        <w:spacing w:line="360" w:lineRule="auto"/>
        <w:ind w:firstLine="480"/>
        <w:rPr>
          <w:rFonts w:ascii="Arial" w:hAnsi="Arial" w:cs="Arial"/>
          <w:color w:val="000000"/>
          <w:sz w:val="24"/>
        </w:rPr>
      </w:pPr>
      <w:r>
        <w:rPr>
          <w:rFonts w:ascii="Arial" w:hAnsi="Arial" w:cs="Arial"/>
          <w:color w:val="000000"/>
          <w:sz w:val="24"/>
        </w:rPr>
        <w:t>（一）中期报告审议要求</w:t>
      </w:r>
    </w:p>
    <w:p>
      <w:pPr>
        <w:suppressAutoHyphens/>
        <w:spacing w:line="360" w:lineRule="auto"/>
        <w:ind w:firstLine="480"/>
        <w:rPr>
          <w:rFonts w:ascii="Arial" w:hAnsi="Arial" w:cs="Arial"/>
          <w:color w:val="000000"/>
          <w:sz w:val="24"/>
        </w:rPr>
      </w:pPr>
      <w:r>
        <w:rPr>
          <w:rFonts w:ascii="Arial" w:hAnsi="Arial" w:cs="Arial"/>
          <w:color w:val="000000"/>
          <w:sz w:val="24"/>
        </w:rPr>
        <w:t>中期报告审议由开发应用管理部门组织相关职能部门按照各自职责范围参加审议，原则上在信息化项目开发进度或时间进度达到60%左右时进行。审议的方式包括专题会议、专家评估、现场专项检查等。审议前，项目专项工作组提出审议申请并提交中期报告，经开发应用管理部门初核后进行审议。审议后，开发应用管理部门制发中期报告审议意见通知书。</w:t>
      </w:r>
    </w:p>
    <w:p>
      <w:pPr>
        <w:suppressAutoHyphens/>
        <w:spacing w:line="360" w:lineRule="auto"/>
        <w:ind w:firstLine="480"/>
        <w:rPr>
          <w:rFonts w:ascii="Arial" w:hAnsi="Arial" w:cs="Arial"/>
          <w:color w:val="000000"/>
          <w:sz w:val="24"/>
        </w:rPr>
      </w:pPr>
      <w:r>
        <w:rPr>
          <w:rFonts w:ascii="Arial" w:hAnsi="Arial" w:cs="Arial"/>
          <w:color w:val="000000"/>
          <w:sz w:val="24"/>
        </w:rPr>
        <w:t>（二）验收资料审议要求</w:t>
      </w:r>
    </w:p>
    <w:p>
      <w:pPr>
        <w:suppressAutoHyphens/>
        <w:spacing w:line="360" w:lineRule="auto"/>
        <w:ind w:firstLine="480"/>
        <w:rPr>
          <w:rFonts w:ascii="Arial" w:hAnsi="Arial" w:cs="Arial"/>
          <w:color w:val="000000"/>
          <w:sz w:val="24"/>
        </w:rPr>
      </w:pPr>
      <w:r>
        <w:rPr>
          <w:rFonts w:ascii="Arial" w:hAnsi="Arial" w:cs="Arial"/>
          <w:color w:val="000000"/>
          <w:sz w:val="24"/>
        </w:rPr>
        <w:t>验收资料审议由开发应用管理部门组织相关职能部门参与。需求部门在验收前提出项目验收申请，投标人按照验收材料清单要求提交项目验收材料，进行书面或会议审议并将审议意见反馈投标人。验收资料审议一般以书面方式开展，必要时以会议方式审议。</w:t>
      </w:r>
    </w:p>
    <w:p>
      <w:pPr>
        <w:suppressAutoHyphens/>
        <w:spacing w:line="360" w:lineRule="auto"/>
        <w:ind w:firstLine="480"/>
        <w:rPr>
          <w:rFonts w:ascii="Arial" w:hAnsi="Arial" w:cs="Arial"/>
          <w:color w:val="000000"/>
          <w:sz w:val="24"/>
        </w:rPr>
      </w:pPr>
      <w:r>
        <w:rPr>
          <w:rFonts w:ascii="Arial" w:hAnsi="Arial" w:cs="Arial"/>
          <w:color w:val="000000"/>
          <w:sz w:val="24"/>
        </w:rPr>
        <w:t>（三）信息化服务商纳入失信名单后果</w:t>
      </w:r>
    </w:p>
    <w:p>
      <w:pPr>
        <w:suppressAutoHyphens/>
        <w:spacing w:line="360" w:lineRule="auto"/>
        <w:ind w:firstLine="480"/>
        <w:rPr>
          <w:rFonts w:ascii="Arial" w:hAnsi="Arial" w:cs="Arial"/>
          <w:color w:val="000000"/>
          <w:sz w:val="24"/>
        </w:rPr>
      </w:pPr>
      <w:r>
        <w:rPr>
          <w:rFonts w:ascii="Arial" w:hAnsi="Arial" w:cs="Arial"/>
          <w:color w:val="000000"/>
          <w:sz w:val="24"/>
        </w:rPr>
        <w:t>对于一般失信行为的，由招标人网信办函告服务商；对于严重失信行为的，由招标人网信办约谈服务商主要负责人，按季将失信记录名单报送给税务总局网信办。对于影响恶劣的严重违法失信行为，将其推送至财政部纳入政府采购严重违法失信行为记录名单。</w:t>
      </w:r>
    </w:p>
    <w:p>
      <w:pPr>
        <w:suppressAutoHyphens/>
        <w:spacing w:line="360" w:lineRule="auto"/>
        <w:ind w:firstLine="480"/>
        <w:rPr>
          <w:rFonts w:ascii="Arial" w:hAnsi="Arial" w:cs="Arial"/>
          <w:color w:val="000000"/>
          <w:sz w:val="24"/>
        </w:rPr>
      </w:pPr>
      <w:r>
        <w:rPr>
          <w:rFonts w:ascii="Arial" w:hAnsi="Arial" w:cs="Arial"/>
          <w:color w:val="000000"/>
          <w:sz w:val="24"/>
        </w:rPr>
        <w:t>八、其他要求</w:t>
      </w:r>
    </w:p>
    <w:p>
      <w:pPr>
        <w:suppressAutoHyphens/>
        <w:spacing w:line="360" w:lineRule="auto"/>
        <w:ind w:firstLine="480"/>
        <w:rPr>
          <w:rFonts w:ascii="Arial" w:hAnsi="Arial" w:cs="Arial"/>
          <w:color w:val="000000"/>
          <w:sz w:val="24"/>
        </w:rPr>
      </w:pPr>
      <w:r>
        <w:rPr>
          <w:rFonts w:ascii="Arial" w:hAnsi="Arial" w:cs="Arial"/>
          <w:color w:val="000000"/>
          <w:sz w:val="24"/>
        </w:rPr>
        <w:t>（一）保密要求</w:t>
      </w:r>
    </w:p>
    <w:p>
      <w:pPr>
        <w:suppressAutoHyphens/>
        <w:spacing w:line="360" w:lineRule="auto"/>
        <w:ind w:firstLine="480"/>
        <w:rPr>
          <w:rFonts w:ascii="Arial" w:hAnsi="Arial" w:cs="Arial"/>
          <w:color w:val="000000"/>
          <w:sz w:val="24"/>
        </w:rPr>
      </w:pPr>
      <w:r>
        <w:rPr>
          <w:rFonts w:ascii="Arial" w:hAnsi="Arial" w:cs="Arial"/>
          <w:color w:val="000000"/>
          <w:sz w:val="24"/>
        </w:rPr>
        <w:t>“保密信息”指招标人在关于本项目的磋商、谈判、签约、履行过程中或根据投标人的要求不时提供给予投标人的招标人自身所有信息和资料，包括但不限于由招标人所有或控制的关于招标人的组织架构、人员信息、网络信息、服务器信息、软件系统信息、业务数据、总局及本局发布公文、会议纪要、往来邮件等，无论以何种形式或载于何种载体，也无论该信息或数据是否以书面、录音、录像、图像或口头形式提供。但以下信息不应被视为保密信息：如果相关信息，（1）在披露时已被公众所知晓；（2）经披露后已为公众所知晓（经由投标人的行为而披露的除外）；或（3）系由投标人依照法律、法规规定的要求而披露的信息；（4）由投标人独立开发与保密信息无关联的信息（即没有参照或借鉴保密信息）；或（5）在本项目合同签署之后由第三方获得的信息，且投标人并不知晓该第三方对招标人负有任何形式的保密义务。</w:t>
      </w:r>
    </w:p>
    <w:p>
      <w:pPr>
        <w:suppressAutoHyphens/>
        <w:spacing w:line="360" w:lineRule="auto"/>
        <w:ind w:firstLine="480"/>
        <w:rPr>
          <w:rFonts w:ascii="Arial" w:hAnsi="Arial" w:cs="Arial"/>
          <w:color w:val="000000"/>
          <w:sz w:val="24"/>
        </w:rPr>
      </w:pPr>
      <w:r>
        <w:rPr>
          <w:rFonts w:ascii="Arial" w:hAnsi="Arial" w:cs="Arial"/>
          <w:color w:val="000000"/>
          <w:sz w:val="24"/>
        </w:rPr>
        <w:t>投标人不得向其他任何人（其有合理知晓需要的除外）披露任何保密信息，也不得在本项目之外，以任何方式使用该等信息。在招标人提出要求的情况下，投标人应将其获得的保密信息，按招标人要求的时间和方式返还给招标人，或者按照招标人要求的方式销毁包含保密信息的文件和记录。投标人应确保本项目有权接触保密信息的投标人的代表不得向任何第三方披露任何保密信息。</w:t>
      </w:r>
    </w:p>
    <w:p>
      <w:pPr>
        <w:suppressAutoHyphens/>
        <w:spacing w:line="360" w:lineRule="auto"/>
        <w:ind w:firstLine="480"/>
        <w:rPr>
          <w:rFonts w:ascii="Arial" w:hAnsi="Arial" w:cs="Arial"/>
          <w:color w:val="000000"/>
          <w:sz w:val="24"/>
        </w:rPr>
      </w:pPr>
      <w:r>
        <w:rPr>
          <w:rFonts w:ascii="Arial" w:hAnsi="Arial" w:cs="Arial"/>
          <w:color w:val="000000"/>
          <w:sz w:val="24"/>
        </w:rPr>
        <w:t>如果投标人或第三方存在任何实际发生的或者疑似的保密信息被窃事件，投标人必须在发现实际发生或疑似情况的24小时内做到：（i）通知招标人；（ii）预估泄露和/或入侵对招标人的影响；（iii）确定要采取的整改措施；以及（iv）调查并且确定入侵和/或泄露是否实际发生。如果通过调查，投标人确认确实发生泄露和/或入侵，其必须立即调查泄露和/或入侵的范围并且必须立即采取整改措施以防止进一步的泄露和/或入侵。投标人必须在确认泄露和/或入侵事件发生的48小时内，向招标人发出一份包含告泄露和/或入侵细节的书面报告，包括被泄露信息的性质以及投标人已经采取的防止进一步泄露和/或入侵的整改措施。在泄露发生的情况下，投标人必须充分配合招标人通知相关方关于信息被泄露的事实和情况。此外，投标人必须充分配合所有拥有调查泄露和/或任何已知的或疑似的犯罪行为的管辖和权力的政府监管机构以及执法机构。投标人应按本项要求向招标人的注册地址发送书面报告。</w:t>
      </w:r>
    </w:p>
    <w:p>
      <w:pPr>
        <w:suppressAutoHyphens/>
        <w:spacing w:line="360" w:lineRule="auto"/>
        <w:ind w:firstLine="480"/>
        <w:rPr>
          <w:rFonts w:ascii="Arial" w:hAnsi="Arial" w:cs="Arial"/>
          <w:color w:val="000000"/>
          <w:sz w:val="24"/>
        </w:rPr>
      </w:pPr>
      <w:r>
        <w:rPr>
          <w:rFonts w:ascii="Arial" w:hAnsi="Arial" w:cs="Arial"/>
          <w:color w:val="000000"/>
          <w:sz w:val="24"/>
        </w:rPr>
        <w:t>投标人因履行服务而通过准备、访问、调查、加工、处理、录入、存储、开发等方式获取的所有资料、数据、信息、图像、视频、文件以及其他物品和材料，包括但不限于问卷调查内容、市场调研数据、访问录音、访问笔录、英文翻译等，视为工作成果。工作成果应于其产生时视同自动成为招标人的财产，招标人在全球范围内排他地拥有工作成果的全部所有权、著作权、专利权、商标权、商业秘密及其它任何知识产权和其他权益，投标人对此不得有任何权利或主张，且招标人不因使用或利用工作成果而对投标人或任何其他方承担任何义务。</w:t>
      </w:r>
    </w:p>
    <w:p>
      <w:pPr>
        <w:suppressAutoHyphens/>
        <w:spacing w:line="360" w:lineRule="auto"/>
        <w:ind w:firstLine="480"/>
        <w:rPr>
          <w:rFonts w:ascii="Arial" w:hAnsi="Arial" w:cs="Arial"/>
          <w:color w:val="000000"/>
          <w:sz w:val="24"/>
        </w:rPr>
      </w:pPr>
      <w:r>
        <w:rPr>
          <w:rFonts w:ascii="Arial" w:hAnsi="Arial" w:cs="Arial"/>
          <w:color w:val="000000"/>
          <w:sz w:val="24"/>
        </w:rPr>
        <w:t>（二）归档要求</w:t>
      </w:r>
    </w:p>
    <w:p>
      <w:pPr>
        <w:suppressAutoHyphens/>
        <w:spacing w:line="360" w:lineRule="auto"/>
        <w:ind w:firstLine="480"/>
        <w:rPr>
          <w:rFonts w:ascii="Arial" w:hAnsi="Arial" w:cs="Arial"/>
          <w:color w:val="000000"/>
          <w:sz w:val="24"/>
        </w:rPr>
      </w:pPr>
      <w:r>
        <w:rPr>
          <w:rFonts w:ascii="Arial" w:hAnsi="Arial" w:cs="Arial"/>
          <w:color w:val="000000"/>
          <w:sz w:val="24"/>
        </w:rPr>
        <w:t>项目验收前，投标方需要遵照招标方要求配合其完成对项目资料的归档工作。</w:t>
      </w:r>
    </w:p>
    <w:p>
      <w:pPr>
        <w:widowControl/>
        <w:jc w:val="left"/>
        <w:rPr>
          <w:rFonts w:ascii="Arial" w:hAnsi="Arial" w:cs="Arial"/>
          <w:color w:val="000000"/>
          <w:sz w:val="24"/>
        </w:rPr>
      </w:pPr>
      <w:r>
        <w:rPr>
          <w:rFonts w:ascii="Arial" w:hAnsi="Arial" w:cs="Arial"/>
          <w:b/>
          <w:color w:val="000000"/>
          <w:sz w:val="24"/>
        </w:rPr>
        <w:br w:type="page"/>
      </w:r>
    </w:p>
    <w:p>
      <w:pPr>
        <w:pStyle w:val="5"/>
        <w:spacing w:before="0" w:after="0"/>
        <w:rPr>
          <w:rFonts w:ascii="Arial" w:hAnsi="Arial" w:cs="Arial"/>
        </w:rPr>
      </w:pPr>
    </w:p>
    <w:p>
      <w:pPr>
        <w:pStyle w:val="5"/>
        <w:spacing w:before="0" w:after="0"/>
        <w:rPr>
          <w:rFonts w:ascii="Arial" w:hAnsi="Arial" w:cs="Arial"/>
        </w:rPr>
      </w:pPr>
    </w:p>
    <w:p>
      <w:pPr>
        <w:pStyle w:val="5"/>
        <w:spacing w:before="0" w:after="0"/>
        <w:rPr>
          <w:rFonts w:ascii="Arial" w:hAnsi="Arial" w:cs="Arial"/>
        </w:rPr>
      </w:pPr>
    </w:p>
    <w:p>
      <w:pPr>
        <w:pStyle w:val="5"/>
        <w:spacing w:before="0" w:after="0"/>
        <w:rPr>
          <w:rFonts w:ascii="Arial" w:hAnsi="Arial" w:cs="Arial"/>
        </w:rPr>
      </w:pPr>
    </w:p>
    <w:p>
      <w:pPr>
        <w:pStyle w:val="5"/>
        <w:spacing w:before="0" w:after="0"/>
        <w:rPr>
          <w:rFonts w:ascii="Arial" w:hAnsi="Arial" w:cs="Arial"/>
        </w:rPr>
      </w:pPr>
    </w:p>
    <w:p>
      <w:pPr>
        <w:pStyle w:val="5"/>
        <w:spacing w:before="0" w:after="0"/>
        <w:rPr>
          <w:rFonts w:ascii="Arial" w:hAnsi="Arial" w:cs="Arial"/>
        </w:rPr>
      </w:pPr>
    </w:p>
    <w:p>
      <w:pPr>
        <w:pStyle w:val="5"/>
        <w:spacing w:before="0" w:after="0"/>
        <w:rPr>
          <w:rFonts w:ascii="Arial" w:hAnsi="Arial" w:cs="Arial"/>
        </w:rPr>
      </w:pPr>
    </w:p>
    <w:p>
      <w:pPr>
        <w:pStyle w:val="5"/>
        <w:spacing w:before="0" w:after="0"/>
        <w:rPr>
          <w:rFonts w:ascii="Arial" w:hAnsi="Arial" w:cs="Arial"/>
        </w:rPr>
      </w:pPr>
    </w:p>
    <w:p>
      <w:pPr>
        <w:pStyle w:val="5"/>
        <w:spacing w:before="0" w:after="0"/>
        <w:rPr>
          <w:rFonts w:ascii="Arial" w:hAnsi="Arial" w:cs="Arial"/>
        </w:rPr>
      </w:pPr>
    </w:p>
    <w:p>
      <w:pPr>
        <w:pStyle w:val="5"/>
        <w:spacing w:before="0" w:after="0"/>
        <w:rPr>
          <w:rFonts w:ascii="Arial" w:hAnsi="Arial" w:cs="Arial"/>
        </w:rPr>
      </w:pPr>
      <w:r>
        <w:rPr>
          <w:rFonts w:hint="eastAsia" w:ascii="Arial" w:hAnsi="Arial" w:cs="Arial"/>
        </w:rPr>
        <w:t>包</w:t>
      </w:r>
      <w:r>
        <w:rPr>
          <w:rFonts w:ascii="Arial" w:hAnsi="Arial" w:cs="Arial"/>
        </w:rPr>
        <w:t>3</w:t>
      </w:r>
      <w:r>
        <w:rPr>
          <w:rFonts w:hint="eastAsia" w:ascii="Arial" w:hAnsi="Arial" w:cs="Arial"/>
        </w:rPr>
        <w:t>：</w:t>
      </w:r>
      <w:r>
        <w:rPr>
          <w:rFonts w:ascii="Arial" w:hAnsi="Arial" w:cs="Arial"/>
        </w:rPr>
        <w:t>金税三期社保费征管</w:t>
      </w:r>
      <w:r>
        <w:rPr>
          <w:rFonts w:hint="eastAsia" w:ascii="Arial" w:hAnsi="Arial" w:cs="Arial"/>
        </w:rPr>
        <w:t>信息系统（标准版）税银子系统</w:t>
      </w:r>
    </w:p>
    <w:p>
      <w:pPr>
        <w:widowControl/>
        <w:jc w:val="left"/>
        <w:rPr>
          <w:rFonts w:ascii="Arial" w:hAnsi="Arial" w:cs="Arial"/>
          <w:b/>
          <w:kern w:val="44"/>
          <w:sz w:val="36"/>
          <w:szCs w:val="36"/>
        </w:rPr>
      </w:pPr>
      <w:r>
        <w:rPr>
          <w:rFonts w:ascii="Arial" w:hAnsi="Arial" w:cs="Arial"/>
        </w:rPr>
        <w:br w:type="page"/>
      </w:r>
    </w:p>
    <w:p>
      <w:pPr>
        <w:widowControl/>
        <w:suppressAutoHyphens/>
        <w:adjustRightInd w:val="0"/>
        <w:snapToGrid w:val="0"/>
        <w:spacing w:line="360" w:lineRule="auto"/>
        <w:jc w:val="center"/>
        <w:rPr>
          <w:rFonts w:ascii="Arial" w:hAnsi="Arial" w:cs="Arial"/>
          <w:b/>
          <w:bCs/>
          <w:kern w:val="0"/>
          <w:sz w:val="32"/>
          <w:szCs w:val="32"/>
        </w:rPr>
      </w:pPr>
      <w:r>
        <w:rPr>
          <w:rFonts w:ascii="Arial" w:hAnsi="Arial" w:cs="Arial"/>
          <w:b/>
          <w:bCs/>
          <w:kern w:val="0"/>
          <w:sz w:val="32"/>
          <w:szCs w:val="32"/>
        </w:rPr>
        <w:t>国家税务总局辽宁省税务局金税三期社保费征管信息系统（标准版）税银子系统上线部署项目需求</w:t>
      </w:r>
    </w:p>
    <w:p>
      <w:pPr>
        <w:suppressAutoHyphens/>
        <w:adjustRightInd w:val="0"/>
        <w:snapToGrid w:val="0"/>
        <w:spacing w:line="360" w:lineRule="auto"/>
        <w:jc w:val="left"/>
        <w:rPr>
          <w:rFonts w:ascii="Arial" w:hAnsi="Arial" w:cs="Arial"/>
          <w:sz w:val="24"/>
        </w:rPr>
      </w:pPr>
    </w:p>
    <w:p>
      <w:pPr>
        <w:suppressAutoHyphens/>
        <w:spacing w:line="360" w:lineRule="auto"/>
        <w:ind w:firstLine="482" w:firstLineChars="200"/>
        <w:rPr>
          <w:rFonts w:ascii="Arial" w:hAnsi="Arial" w:cs="Arial"/>
          <w:b/>
          <w:bCs/>
          <w:color w:val="000000"/>
          <w:sz w:val="24"/>
        </w:rPr>
      </w:pPr>
      <w:r>
        <w:rPr>
          <w:rFonts w:ascii="Arial" w:hAnsi="Arial" w:cs="Arial"/>
          <w:b/>
          <w:bCs/>
          <w:color w:val="000000"/>
          <w:sz w:val="24"/>
        </w:rPr>
        <w:t>一、项目概述</w:t>
      </w:r>
    </w:p>
    <w:p>
      <w:pPr>
        <w:suppressAutoHyphens/>
        <w:spacing w:line="360" w:lineRule="auto"/>
        <w:ind w:firstLine="482" w:firstLineChars="200"/>
        <w:rPr>
          <w:rFonts w:ascii="Arial" w:hAnsi="Arial" w:cs="Arial"/>
          <w:b/>
          <w:bCs/>
          <w:color w:val="000000"/>
          <w:sz w:val="24"/>
        </w:rPr>
      </w:pPr>
      <w:r>
        <w:rPr>
          <w:rFonts w:ascii="Arial" w:hAnsi="Arial" w:cs="Arial"/>
          <w:b/>
          <w:bCs/>
          <w:color w:val="000000"/>
          <w:sz w:val="24"/>
        </w:rPr>
        <w:t>1.项目背景</w:t>
      </w:r>
    </w:p>
    <w:p>
      <w:pPr>
        <w:suppressAutoHyphens/>
        <w:spacing w:line="360" w:lineRule="auto"/>
        <w:ind w:firstLine="480" w:firstLineChars="200"/>
        <w:rPr>
          <w:rFonts w:ascii="Arial" w:hAnsi="Arial" w:cs="Arial"/>
          <w:color w:val="000000"/>
          <w:sz w:val="24"/>
        </w:rPr>
      </w:pPr>
      <w:r>
        <w:rPr>
          <w:rFonts w:ascii="Arial" w:hAnsi="Arial" w:cs="Arial"/>
          <w:color w:val="000000"/>
          <w:sz w:val="24"/>
        </w:rPr>
        <w:t>按照《深化党和国家机构改革方案》和《国税地税征管体制改革方案》要求，自2019年1月1日起，将基本养老保险费、基本医疗保险费、失业保险费、工伤保险费和生育保险费等各项社保费交由税务部门征收，实现税费统征统管、同征同查。</w:t>
      </w:r>
    </w:p>
    <w:p>
      <w:pPr>
        <w:suppressAutoHyphens/>
        <w:spacing w:line="360" w:lineRule="auto"/>
        <w:ind w:firstLine="480" w:firstLineChars="200"/>
        <w:rPr>
          <w:rFonts w:ascii="Arial" w:hAnsi="Arial" w:cs="Arial"/>
          <w:color w:val="000000"/>
          <w:sz w:val="24"/>
        </w:rPr>
      </w:pPr>
      <w:r>
        <w:rPr>
          <w:rFonts w:ascii="Arial" w:hAnsi="Arial" w:cs="Arial"/>
          <w:color w:val="000000"/>
          <w:sz w:val="24"/>
        </w:rPr>
        <w:t>国家税务总局办公厅、人力资源社会保障部办公厅关于印发《社会保险费信息共享平台建设方案》的通知，要求2018年10月31日前完成社会保险费信息共享平台的建设工作。</w:t>
      </w:r>
    </w:p>
    <w:p>
      <w:pPr>
        <w:suppressAutoHyphens/>
        <w:spacing w:line="360" w:lineRule="auto"/>
        <w:ind w:firstLine="480" w:firstLineChars="200"/>
        <w:rPr>
          <w:rFonts w:ascii="Arial" w:hAnsi="Arial" w:cs="Arial"/>
          <w:color w:val="000000"/>
          <w:sz w:val="24"/>
        </w:rPr>
      </w:pPr>
      <w:r>
        <w:rPr>
          <w:rFonts w:ascii="Arial" w:hAnsi="Arial" w:cs="Arial"/>
          <w:color w:val="000000"/>
          <w:sz w:val="24"/>
        </w:rPr>
        <w:t>为保障社保费征收工作的正常进行，需要按照业务要求，实现与社保部门的信息共享。基于总局提供的金三外部交换社保费共享平台，实现与社保部门的信息交换。由于我省社保部门信息化建设存在一定的差异，总局的方案无法兼顾所有单位，我省负责平台的落地实施以及本地个性化的建设。</w:t>
      </w:r>
    </w:p>
    <w:p>
      <w:pPr>
        <w:suppressAutoHyphens/>
        <w:spacing w:line="360" w:lineRule="auto"/>
        <w:ind w:firstLine="480" w:firstLineChars="200"/>
        <w:rPr>
          <w:rFonts w:ascii="Arial" w:hAnsi="Arial" w:cs="Arial"/>
          <w:color w:val="000000"/>
          <w:sz w:val="24"/>
        </w:rPr>
      </w:pPr>
      <w:r>
        <w:rPr>
          <w:rFonts w:ascii="Arial" w:hAnsi="Arial" w:cs="Arial"/>
          <w:color w:val="000000"/>
          <w:sz w:val="24"/>
        </w:rPr>
        <w:t>2.项目内容</w:t>
      </w:r>
    </w:p>
    <w:p>
      <w:pPr>
        <w:suppressAutoHyphens/>
        <w:spacing w:line="360" w:lineRule="auto"/>
        <w:ind w:firstLine="480" w:firstLineChars="200"/>
        <w:rPr>
          <w:rFonts w:ascii="Arial" w:hAnsi="Arial" w:cs="Arial"/>
          <w:color w:val="000000"/>
          <w:sz w:val="24"/>
        </w:rPr>
      </w:pPr>
      <w:r>
        <w:rPr>
          <w:rFonts w:ascii="Arial" w:hAnsi="Arial" w:cs="Arial"/>
          <w:color w:val="000000"/>
          <w:sz w:val="24"/>
        </w:rPr>
        <w:t>基于国家相关政务信息资源交换的标准规范，做好规划和设计，推进数据资源的全面整合、交换。根据社保费征管业务要求，建设覆盖省级税务与省级经办机构互联互通，确保数据安全的信息共享平台。</w:t>
      </w:r>
    </w:p>
    <w:p>
      <w:pPr>
        <w:suppressAutoHyphens/>
        <w:spacing w:line="360" w:lineRule="auto"/>
        <w:ind w:firstLine="480" w:firstLineChars="200"/>
        <w:rPr>
          <w:rFonts w:ascii="Arial" w:hAnsi="Arial" w:cs="Arial"/>
          <w:color w:val="000000"/>
          <w:sz w:val="24"/>
        </w:rPr>
      </w:pPr>
      <w:r>
        <w:rPr>
          <w:rFonts w:ascii="Arial" w:hAnsi="Arial" w:cs="Arial"/>
          <w:color w:val="000000"/>
          <w:sz w:val="24"/>
        </w:rPr>
        <w:t>主要工作目标如下：</w:t>
      </w:r>
    </w:p>
    <w:p>
      <w:pPr>
        <w:pStyle w:val="6"/>
        <w:spacing w:line="360" w:lineRule="auto"/>
        <w:ind w:firstLineChars="0"/>
        <w:rPr>
          <w:rFonts w:ascii="Arial" w:hAnsi="Arial" w:cs="Arial"/>
          <w:color w:val="000000"/>
        </w:rPr>
      </w:pPr>
      <w:r>
        <w:rPr>
          <w:rFonts w:hint="eastAsia" w:ascii="Arial" w:hAnsi="Arial" w:cs="Arial"/>
          <w:color w:val="000000"/>
        </w:rPr>
        <w:t>（一）</w:t>
      </w:r>
      <w:r>
        <w:rPr>
          <w:rFonts w:ascii="Arial" w:hAnsi="Arial" w:cs="Arial"/>
          <w:color w:val="000000"/>
        </w:rPr>
        <w:t>确保共享平台实施成功</w:t>
      </w:r>
    </w:p>
    <w:p>
      <w:pPr>
        <w:suppressAutoHyphens/>
        <w:spacing w:line="360" w:lineRule="auto"/>
        <w:ind w:firstLine="480" w:firstLineChars="200"/>
        <w:rPr>
          <w:rFonts w:ascii="Arial" w:hAnsi="Arial" w:cs="Arial"/>
          <w:color w:val="000000"/>
          <w:sz w:val="24"/>
        </w:rPr>
      </w:pPr>
      <w:r>
        <w:rPr>
          <w:rFonts w:ascii="Arial" w:hAnsi="Arial" w:cs="Arial"/>
          <w:color w:val="000000"/>
          <w:sz w:val="24"/>
        </w:rPr>
        <w:t>按照统一的技术标准，改造、升级税务部门与各经办机构的业务系统，搭建税务部门与各经办机构的信息共享平台，实现社保费征收相关的数据在各经办机构与税务部门之间交换，保证数据的真实性、及时性和完整性，实现信息共享和业务协同。</w:t>
      </w:r>
    </w:p>
    <w:p>
      <w:pPr>
        <w:pStyle w:val="6"/>
        <w:spacing w:line="360" w:lineRule="auto"/>
        <w:ind w:firstLineChars="0"/>
        <w:rPr>
          <w:rFonts w:ascii="Arial" w:hAnsi="Arial" w:cs="Arial"/>
          <w:color w:val="000000"/>
        </w:rPr>
      </w:pPr>
      <w:r>
        <w:rPr>
          <w:rFonts w:hint="eastAsia" w:ascii="Arial" w:hAnsi="Arial" w:cs="Arial"/>
          <w:color w:val="000000"/>
        </w:rPr>
        <w:t>（二）</w:t>
      </w:r>
      <w:r>
        <w:rPr>
          <w:rFonts w:ascii="Arial" w:hAnsi="Arial" w:cs="Arial"/>
          <w:color w:val="000000"/>
        </w:rPr>
        <w:t>确保税银系统实施完成</w:t>
      </w:r>
    </w:p>
    <w:p>
      <w:pPr>
        <w:suppressAutoHyphens/>
        <w:spacing w:line="360" w:lineRule="auto"/>
        <w:ind w:firstLine="480" w:firstLineChars="200"/>
        <w:rPr>
          <w:rFonts w:ascii="Arial" w:hAnsi="Arial" w:cs="Arial"/>
          <w:color w:val="000000"/>
          <w:sz w:val="24"/>
        </w:rPr>
      </w:pPr>
      <w:r>
        <w:rPr>
          <w:rFonts w:ascii="Arial" w:hAnsi="Arial" w:cs="Arial"/>
          <w:color w:val="000000"/>
          <w:sz w:val="24"/>
        </w:rPr>
        <w:t>利用现代信息网络技术，通过社保部门、税务机关、国库、商业银行间横向联网，实行社保费收入电子缴库，实现社税库信息共享，方便参保人缴费，加快社保费入库速度，提高社保资金运转效率，建立规范高效的社保费收缴管理运行机制</w:t>
      </w:r>
    </w:p>
    <w:p>
      <w:pPr>
        <w:suppressAutoHyphens/>
        <w:spacing w:line="360" w:lineRule="auto"/>
        <w:ind w:firstLine="482" w:firstLineChars="200"/>
        <w:rPr>
          <w:rFonts w:ascii="Arial" w:hAnsi="Arial" w:cs="Arial"/>
          <w:b/>
          <w:bCs/>
          <w:color w:val="000000"/>
          <w:sz w:val="24"/>
        </w:rPr>
      </w:pPr>
      <w:r>
        <w:rPr>
          <w:rFonts w:ascii="Arial" w:hAnsi="Arial" w:cs="Arial"/>
          <w:b/>
          <w:bCs/>
          <w:color w:val="000000"/>
          <w:sz w:val="24"/>
        </w:rPr>
        <w:t>二、投标/响应要求</w:t>
      </w:r>
    </w:p>
    <w:p>
      <w:pPr>
        <w:suppressAutoHyphens/>
        <w:spacing w:line="360" w:lineRule="auto"/>
        <w:ind w:firstLine="480" w:firstLineChars="200"/>
        <w:rPr>
          <w:rFonts w:ascii="Arial" w:hAnsi="Arial" w:cs="Arial"/>
          <w:color w:val="auto"/>
          <w:sz w:val="24"/>
        </w:rPr>
      </w:pPr>
      <w:r>
        <w:rPr>
          <w:rFonts w:ascii="Arial" w:hAnsi="Arial" w:cs="Arial"/>
          <w:color w:val="auto"/>
          <w:sz w:val="24"/>
        </w:rPr>
        <w:t>1、投标方案总体改造开发设计、建设方案等详细阐述系统的体系架构、功能模块、实现思路和关键技术，投标方案对需求理解好，与需求的吻合性好，方案科学合理、安全严密、具有较强的前瞻性；</w:t>
      </w:r>
    </w:p>
    <w:p>
      <w:pPr>
        <w:suppressAutoHyphens/>
        <w:spacing w:line="360" w:lineRule="auto"/>
        <w:ind w:firstLine="480" w:firstLineChars="200"/>
        <w:rPr>
          <w:rFonts w:ascii="Arial" w:hAnsi="Arial" w:cs="Arial"/>
          <w:color w:val="auto"/>
          <w:sz w:val="24"/>
        </w:rPr>
      </w:pPr>
      <w:r>
        <w:rPr>
          <w:rFonts w:ascii="Arial" w:hAnsi="Arial" w:cs="Arial"/>
          <w:color w:val="auto"/>
          <w:sz w:val="24"/>
        </w:rPr>
        <w:t>2、总体改造开发实施方案具有完善可行的项目实施计划、进度管理、质量保证、测试验收方案；</w:t>
      </w:r>
    </w:p>
    <w:p>
      <w:pPr>
        <w:suppressAutoHyphens/>
        <w:spacing w:line="360" w:lineRule="auto"/>
        <w:ind w:firstLine="480" w:firstLineChars="200"/>
        <w:rPr>
          <w:rFonts w:ascii="Arial" w:hAnsi="Arial" w:cs="Arial"/>
          <w:color w:val="auto"/>
          <w:sz w:val="24"/>
        </w:rPr>
      </w:pPr>
      <w:r>
        <w:rPr>
          <w:rFonts w:ascii="Arial" w:hAnsi="Arial" w:cs="Arial"/>
          <w:color w:val="auto"/>
          <w:sz w:val="24"/>
        </w:rPr>
        <w:t>3、能够提供全面且合理的质量保证体系、质量控制体系、质量保障措施</w:t>
      </w:r>
    </w:p>
    <w:p>
      <w:pPr>
        <w:suppressAutoHyphens/>
        <w:spacing w:line="360" w:lineRule="auto"/>
        <w:ind w:firstLine="480" w:firstLineChars="200"/>
        <w:rPr>
          <w:rFonts w:ascii="Arial" w:hAnsi="Arial" w:cs="Arial"/>
          <w:color w:val="auto"/>
          <w:sz w:val="24"/>
        </w:rPr>
      </w:pPr>
      <w:r>
        <w:rPr>
          <w:rFonts w:ascii="Arial" w:hAnsi="Arial" w:cs="Arial"/>
          <w:color w:val="auto"/>
          <w:sz w:val="24"/>
        </w:rPr>
        <w:t>4、</w:t>
      </w:r>
      <w:r>
        <w:rPr>
          <w:rFonts w:hint="eastAsia" w:ascii="Arial" w:hAnsi="Arial" w:cs="Arial"/>
          <w:color w:val="auto"/>
          <w:sz w:val="24"/>
          <w:lang w:eastAsia="zh-CN"/>
        </w:rPr>
        <w:t>在项目实施部署过程中，</w:t>
      </w:r>
      <w:r>
        <w:rPr>
          <w:rFonts w:ascii="Arial" w:hAnsi="Arial" w:cs="Arial"/>
          <w:color w:val="auto"/>
          <w:sz w:val="24"/>
        </w:rPr>
        <w:t>具备巡检方案，其中包括巡检周期、巡检流程、巡检内容、巡检报告等内容，全面且合理；</w:t>
      </w:r>
    </w:p>
    <w:p>
      <w:pPr>
        <w:suppressAutoHyphens/>
        <w:spacing w:line="360" w:lineRule="auto"/>
        <w:ind w:firstLine="480" w:firstLineChars="200"/>
        <w:rPr>
          <w:rFonts w:ascii="Arial" w:hAnsi="Arial" w:cs="Arial"/>
          <w:color w:val="auto"/>
          <w:sz w:val="24"/>
        </w:rPr>
      </w:pPr>
      <w:r>
        <w:rPr>
          <w:rFonts w:ascii="Arial" w:hAnsi="Arial" w:cs="Arial"/>
          <w:color w:val="auto"/>
          <w:sz w:val="24"/>
        </w:rPr>
        <w:t>5、验收流程及标准规范，技术成果及档案归档要求齐全且清晰；</w:t>
      </w:r>
    </w:p>
    <w:p>
      <w:pPr>
        <w:suppressAutoHyphens/>
        <w:spacing w:line="360" w:lineRule="auto"/>
        <w:ind w:firstLine="480" w:firstLineChars="200"/>
        <w:rPr>
          <w:rFonts w:ascii="Arial" w:hAnsi="Arial" w:cs="Arial"/>
          <w:color w:val="auto"/>
          <w:sz w:val="24"/>
        </w:rPr>
      </w:pPr>
      <w:r>
        <w:rPr>
          <w:rFonts w:ascii="Arial" w:hAnsi="Arial" w:cs="Arial"/>
          <w:color w:val="auto"/>
          <w:sz w:val="24"/>
        </w:rPr>
        <w:t>6、培训组织完善，师资力量雄厚，培训教材及实施过程中所涉及的知识、技能、经验转移情况等内容丰富；</w:t>
      </w:r>
    </w:p>
    <w:p>
      <w:pPr>
        <w:suppressAutoHyphens/>
        <w:spacing w:line="360" w:lineRule="auto"/>
        <w:ind w:firstLine="480" w:firstLineChars="200"/>
        <w:rPr>
          <w:rFonts w:ascii="Arial" w:hAnsi="Arial" w:cs="Arial"/>
          <w:color w:val="auto"/>
          <w:sz w:val="24"/>
        </w:rPr>
      </w:pPr>
      <w:r>
        <w:rPr>
          <w:rFonts w:ascii="Arial" w:hAnsi="Arial" w:cs="Arial"/>
          <w:color w:val="auto"/>
          <w:sz w:val="24"/>
        </w:rPr>
        <w:t>7、建立健全安全与保密制度，能够按照国家税务总局网络安全规定，承诺完成等保测评和定级备案工作；</w:t>
      </w:r>
    </w:p>
    <w:p>
      <w:pPr>
        <w:suppressAutoHyphens/>
        <w:spacing w:line="360" w:lineRule="auto"/>
        <w:ind w:firstLine="480" w:firstLineChars="200"/>
        <w:rPr>
          <w:rFonts w:ascii="Arial" w:hAnsi="Arial" w:cs="Arial"/>
          <w:color w:val="auto"/>
          <w:sz w:val="24"/>
        </w:rPr>
      </w:pPr>
      <w:r>
        <w:rPr>
          <w:rFonts w:ascii="Arial" w:hAnsi="Arial" w:cs="Arial"/>
          <w:color w:val="auto"/>
          <w:sz w:val="24"/>
        </w:rPr>
        <w:t>8、服务体系、服务团队、服务流程、服务规范等内容描述清晰、全面合理；</w:t>
      </w:r>
    </w:p>
    <w:p>
      <w:pPr>
        <w:suppressAutoHyphens/>
        <w:spacing w:line="360" w:lineRule="auto"/>
        <w:ind w:firstLine="480" w:firstLineChars="200"/>
        <w:rPr>
          <w:rFonts w:ascii="Arial" w:hAnsi="Arial" w:cs="Arial"/>
          <w:color w:val="auto"/>
          <w:sz w:val="24"/>
        </w:rPr>
      </w:pPr>
      <w:r>
        <w:rPr>
          <w:rFonts w:ascii="Arial" w:hAnsi="Arial" w:cs="Arial"/>
          <w:color w:val="auto"/>
          <w:sz w:val="24"/>
        </w:rPr>
        <w:t>9、事件级别定义、风险管理计划、应急处理策略、应急处理流程等内容分析准确，且所述内容全面合理；</w:t>
      </w:r>
    </w:p>
    <w:p>
      <w:pPr>
        <w:suppressAutoHyphens/>
        <w:spacing w:line="360" w:lineRule="auto"/>
        <w:ind w:firstLine="480" w:firstLineChars="200"/>
        <w:rPr>
          <w:rFonts w:ascii="Arial" w:hAnsi="Arial" w:cs="Arial"/>
          <w:color w:val="auto"/>
          <w:sz w:val="24"/>
        </w:rPr>
      </w:pPr>
      <w:r>
        <w:rPr>
          <w:rFonts w:ascii="Arial" w:hAnsi="Arial" w:cs="Arial"/>
          <w:color w:val="auto"/>
          <w:sz w:val="24"/>
        </w:rPr>
        <w:t>10、提供并清晰描述故障分析及处理流程（包含故障定义、故障分类、故障响应处理流程、软件故障的诊断和处理）等故障分析及处理方案，描述具有全面性、合理性</w:t>
      </w:r>
      <w:r>
        <w:rPr>
          <w:rFonts w:hint="eastAsia" w:ascii="Arial" w:hAnsi="Arial" w:cs="Arial"/>
          <w:color w:val="auto"/>
          <w:sz w:val="24"/>
        </w:rPr>
        <w:t>。</w:t>
      </w:r>
    </w:p>
    <w:p>
      <w:pPr>
        <w:suppressAutoHyphens/>
        <w:spacing w:line="360" w:lineRule="auto"/>
        <w:ind w:firstLine="482" w:firstLineChars="200"/>
        <w:rPr>
          <w:rFonts w:ascii="Arial" w:hAnsi="Arial" w:cs="Arial"/>
          <w:b/>
          <w:bCs/>
          <w:color w:val="000000"/>
          <w:sz w:val="24"/>
        </w:rPr>
      </w:pPr>
      <w:r>
        <w:rPr>
          <w:rFonts w:ascii="Arial" w:hAnsi="Arial" w:cs="Arial"/>
          <w:b/>
          <w:bCs/>
          <w:color w:val="000000"/>
          <w:sz w:val="24"/>
        </w:rPr>
        <w:t>三、项目需求</w:t>
      </w:r>
    </w:p>
    <w:p>
      <w:pPr>
        <w:numPr>
          <w:ilvl w:val="0"/>
          <w:numId w:val="3"/>
        </w:numPr>
        <w:suppressAutoHyphens/>
        <w:spacing w:line="360" w:lineRule="auto"/>
        <w:rPr>
          <w:rFonts w:ascii="Arial" w:hAnsi="Arial" w:cs="Arial"/>
          <w:color w:val="000000"/>
          <w:sz w:val="24"/>
        </w:rPr>
      </w:pPr>
      <w:r>
        <w:rPr>
          <w:rFonts w:ascii="Arial" w:hAnsi="Arial" w:cs="Arial"/>
          <w:color w:val="000000"/>
          <w:sz w:val="24"/>
        </w:rPr>
        <w:t>本地上线实施工作</w:t>
      </w:r>
    </w:p>
    <w:p>
      <w:pPr>
        <w:suppressAutoHyphens/>
        <w:spacing w:line="360" w:lineRule="auto"/>
        <w:ind w:firstLine="480" w:firstLineChars="200"/>
        <w:rPr>
          <w:rFonts w:ascii="Arial" w:hAnsi="Arial" w:cs="Arial"/>
          <w:color w:val="000000"/>
          <w:sz w:val="24"/>
        </w:rPr>
      </w:pPr>
      <w:r>
        <w:rPr>
          <w:rFonts w:ascii="Arial" w:hAnsi="Arial" w:cs="Arial"/>
          <w:color w:val="000000"/>
          <w:sz w:val="24"/>
        </w:rPr>
        <w:t>金税三期社保征管系统（标准版）信息共享平台2.0上线实施部署、金税三期社保征管系统（标准版）税银子系统上线实施部署。</w:t>
      </w:r>
    </w:p>
    <w:p>
      <w:pPr>
        <w:numPr>
          <w:ilvl w:val="0"/>
          <w:numId w:val="3"/>
        </w:numPr>
        <w:suppressAutoHyphens/>
        <w:spacing w:line="360" w:lineRule="auto"/>
        <w:rPr>
          <w:rFonts w:ascii="Arial" w:hAnsi="Arial" w:cs="Arial"/>
          <w:color w:val="000000"/>
          <w:sz w:val="24"/>
        </w:rPr>
      </w:pPr>
      <w:r>
        <w:rPr>
          <w:rFonts w:ascii="Arial" w:hAnsi="Arial" w:cs="Arial"/>
          <w:color w:val="000000"/>
          <w:sz w:val="24"/>
        </w:rPr>
        <w:t>共享平台建设工作</w:t>
      </w:r>
    </w:p>
    <w:p>
      <w:pPr>
        <w:suppressAutoHyphens/>
        <w:spacing w:line="360" w:lineRule="auto"/>
        <w:ind w:firstLine="480" w:firstLineChars="200"/>
        <w:rPr>
          <w:rFonts w:ascii="Arial" w:hAnsi="Arial" w:cs="Arial"/>
          <w:color w:val="000000"/>
          <w:sz w:val="24"/>
        </w:rPr>
      </w:pPr>
      <w:r>
        <w:rPr>
          <w:rFonts w:ascii="Arial" w:hAnsi="Arial" w:cs="Arial"/>
          <w:color w:val="000000"/>
          <w:sz w:val="24"/>
        </w:rPr>
        <w:t>要保证社保费征收工作正常进行，除建设社保费征收平台外，还涉及外部交换系统社保费信息共享平台的建设。</w:t>
      </w:r>
    </w:p>
    <w:p>
      <w:pPr>
        <w:numPr>
          <w:ilvl w:val="0"/>
          <w:numId w:val="4"/>
        </w:numPr>
        <w:suppressAutoHyphens/>
        <w:spacing w:line="360" w:lineRule="auto"/>
        <w:rPr>
          <w:rFonts w:ascii="Arial" w:hAnsi="Arial" w:cs="Arial"/>
          <w:color w:val="000000"/>
          <w:sz w:val="24"/>
        </w:rPr>
      </w:pPr>
      <w:r>
        <w:rPr>
          <w:rFonts w:ascii="Arial" w:hAnsi="Arial" w:cs="Arial"/>
          <w:color w:val="000000"/>
          <w:sz w:val="24"/>
        </w:rPr>
        <w:t>金三外部交换系统社保费信息共享平台建设相关内容</w:t>
      </w:r>
    </w:p>
    <w:tbl>
      <w:tblPr>
        <w:tblStyle w:val="3"/>
        <w:tblW w:w="839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9"/>
        <w:gridCol w:w="2050"/>
        <w:gridCol w:w="54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BFBFBF"/>
            <w:vAlign w:val="center"/>
          </w:tcPr>
          <w:p>
            <w:pPr>
              <w:widowControl/>
              <w:suppressAutoHyphens/>
              <w:jc w:val="center"/>
              <w:rPr>
                <w:rFonts w:ascii="Arial" w:hAnsi="Arial" w:cs="Arial"/>
                <w:b/>
                <w:color w:val="000000"/>
                <w:kern w:val="0"/>
                <w:szCs w:val="21"/>
              </w:rPr>
            </w:pPr>
            <w:r>
              <w:rPr>
                <w:rFonts w:ascii="Arial" w:hAnsi="Arial" w:cs="Arial"/>
                <w:b/>
                <w:szCs w:val="21"/>
              </w:rPr>
              <w:t>序号</w:t>
            </w:r>
          </w:p>
        </w:tc>
        <w:tc>
          <w:tcPr>
            <w:tcW w:w="2050" w:type="dxa"/>
            <w:tcBorders>
              <w:top w:val="single" w:color="auto" w:sz="4" w:space="0"/>
              <w:left w:val="single" w:color="auto" w:sz="4" w:space="0"/>
              <w:bottom w:val="single" w:color="auto" w:sz="4" w:space="0"/>
              <w:right w:val="single" w:color="auto" w:sz="4" w:space="0"/>
            </w:tcBorders>
            <w:shd w:val="clear" w:color="auto" w:fill="BFBFBF"/>
            <w:vAlign w:val="center"/>
          </w:tcPr>
          <w:p>
            <w:pPr>
              <w:widowControl/>
              <w:suppressAutoHyphens/>
              <w:jc w:val="center"/>
              <w:rPr>
                <w:rFonts w:ascii="Arial" w:hAnsi="Arial" w:cs="Arial"/>
                <w:b/>
                <w:color w:val="000000"/>
                <w:kern w:val="0"/>
                <w:szCs w:val="21"/>
              </w:rPr>
            </w:pPr>
            <w:r>
              <w:rPr>
                <w:rFonts w:ascii="Arial" w:hAnsi="Arial" w:cs="Arial"/>
                <w:b/>
                <w:bCs/>
                <w:color w:val="000000"/>
                <w:kern w:val="0"/>
                <w:szCs w:val="21"/>
              </w:rPr>
              <w:t>项目阶段</w:t>
            </w:r>
          </w:p>
        </w:tc>
        <w:tc>
          <w:tcPr>
            <w:tcW w:w="5463" w:type="dxa"/>
            <w:tcBorders>
              <w:top w:val="single" w:color="auto" w:sz="4" w:space="0"/>
              <w:left w:val="single" w:color="auto" w:sz="4" w:space="0"/>
              <w:bottom w:val="single" w:color="auto" w:sz="4" w:space="0"/>
              <w:right w:val="single" w:color="auto" w:sz="4" w:space="0"/>
            </w:tcBorders>
            <w:shd w:val="clear" w:color="auto" w:fill="BFBFBF"/>
            <w:vAlign w:val="center"/>
          </w:tcPr>
          <w:p>
            <w:pPr>
              <w:widowControl/>
              <w:suppressAutoHyphens/>
              <w:jc w:val="center"/>
              <w:rPr>
                <w:rFonts w:ascii="Arial" w:hAnsi="Arial" w:cs="Arial"/>
                <w:b/>
                <w:color w:val="000000"/>
                <w:kern w:val="0"/>
                <w:szCs w:val="21"/>
              </w:rPr>
            </w:pPr>
            <w:r>
              <w:rPr>
                <w:rFonts w:ascii="Arial" w:hAnsi="Arial" w:cs="Arial"/>
                <w:b/>
                <w:bCs/>
                <w:color w:val="000000"/>
                <w:kern w:val="0"/>
                <w:szCs w:val="21"/>
              </w:rPr>
              <w:t>工作内容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879" w:type="dxa"/>
            <w:tcBorders>
              <w:top w:val="single" w:color="auto" w:sz="4" w:space="0"/>
              <w:left w:val="single" w:color="auto" w:sz="4" w:space="0"/>
              <w:bottom w:val="single" w:color="auto" w:sz="4" w:space="0"/>
              <w:right w:val="single" w:color="auto" w:sz="4" w:space="0"/>
            </w:tcBorders>
            <w:vAlign w:val="center"/>
          </w:tcPr>
          <w:p>
            <w:pPr>
              <w:widowControl/>
              <w:suppressAutoHyphens/>
              <w:jc w:val="center"/>
              <w:rPr>
                <w:rFonts w:ascii="Arial" w:hAnsi="Arial" w:cs="Arial"/>
                <w:color w:val="000000"/>
                <w:kern w:val="0"/>
                <w:szCs w:val="21"/>
              </w:rPr>
            </w:pPr>
            <w:r>
              <w:rPr>
                <w:rFonts w:ascii="Arial" w:hAnsi="Arial" w:cs="Arial"/>
                <w:color w:val="000000"/>
                <w:kern w:val="0"/>
                <w:szCs w:val="21"/>
              </w:rPr>
              <w:t>1</w:t>
            </w:r>
          </w:p>
        </w:tc>
        <w:tc>
          <w:tcPr>
            <w:tcW w:w="2050" w:type="dxa"/>
            <w:vMerge w:val="restart"/>
            <w:tcBorders>
              <w:top w:val="single" w:color="auto" w:sz="4" w:space="0"/>
              <w:left w:val="single" w:color="auto" w:sz="4" w:space="0"/>
              <w:bottom w:val="single" w:color="auto" w:sz="4" w:space="0"/>
              <w:right w:val="single" w:color="auto" w:sz="4" w:space="0"/>
            </w:tcBorders>
            <w:vAlign w:val="center"/>
          </w:tcPr>
          <w:p>
            <w:pPr>
              <w:widowControl/>
              <w:suppressAutoHyphens/>
              <w:jc w:val="center"/>
              <w:rPr>
                <w:rFonts w:ascii="Arial" w:hAnsi="Arial" w:cs="Arial"/>
                <w:color w:val="000000"/>
                <w:kern w:val="0"/>
                <w:szCs w:val="21"/>
              </w:rPr>
            </w:pPr>
            <w:r>
              <w:rPr>
                <w:rFonts w:ascii="Arial" w:hAnsi="Arial" w:cs="Arial"/>
                <w:color w:val="000000"/>
                <w:kern w:val="0"/>
                <w:szCs w:val="21"/>
              </w:rPr>
              <w:t>环境部署</w:t>
            </w:r>
          </w:p>
        </w:tc>
        <w:tc>
          <w:tcPr>
            <w:tcW w:w="5463" w:type="dxa"/>
            <w:tcBorders>
              <w:top w:val="single" w:color="auto" w:sz="4" w:space="0"/>
              <w:left w:val="single" w:color="auto" w:sz="4" w:space="0"/>
              <w:bottom w:val="single" w:color="auto" w:sz="4" w:space="0"/>
              <w:right w:val="single" w:color="auto" w:sz="4" w:space="0"/>
            </w:tcBorders>
            <w:vAlign w:val="center"/>
          </w:tcPr>
          <w:p>
            <w:pPr>
              <w:widowControl/>
              <w:suppressAutoHyphens/>
              <w:jc w:val="left"/>
              <w:rPr>
                <w:rFonts w:ascii="Arial" w:hAnsi="Arial" w:cs="Arial"/>
                <w:color w:val="000000"/>
                <w:kern w:val="0"/>
                <w:szCs w:val="21"/>
              </w:rPr>
            </w:pPr>
            <w:r>
              <w:rPr>
                <w:rFonts w:ascii="Arial" w:hAnsi="Arial" w:cs="Arial"/>
                <w:color w:val="000000"/>
                <w:kern w:val="0"/>
                <w:szCs w:val="21"/>
              </w:rPr>
              <w:t>交换应</w:t>
            </w:r>
            <w:r>
              <w:rPr>
                <w:rFonts w:ascii="Arial" w:hAnsi="Arial" w:cs="Arial"/>
                <w:color w:val="000000"/>
                <w:szCs w:val="21"/>
              </w:rPr>
              <w:t>用部</w:t>
            </w:r>
            <w:r>
              <w:rPr>
                <w:rFonts w:ascii="Arial" w:hAnsi="Arial" w:cs="Arial"/>
                <w:color w:val="000000"/>
                <w:kern w:val="0"/>
                <w:szCs w:val="21"/>
              </w:rPr>
              <w:t>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879" w:type="dxa"/>
            <w:tcBorders>
              <w:top w:val="single" w:color="auto" w:sz="4" w:space="0"/>
              <w:left w:val="single" w:color="auto" w:sz="4" w:space="0"/>
              <w:bottom w:val="single" w:color="auto" w:sz="4" w:space="0"/>
              <w:right w:val="single" w:color="auto" w:sz="4" w:space="0"/>
            </w:tcBorders>
            <w:vAlign w:val="center"/>
          </w:tcPr>
          <w:p>
            <w:pPr>
              <w:widowControl/>
              <w:suppressAutoHyphens/>
              <w:jc w:val="center"/>
              <w:rPr>
                <w:rFonts w:ascii="Arial" w:hAnsi="Arial" w:cs="Arial"/>
                <w:color w:val="000000"/>
                <w:kern w:val="0"/>
                <w:szCs w:val="21"/>
              </w:rPr>
            </w:pPr>
            <w:r>
              <w:rPr>
                <w:rFonts w:ascii="Arial" w:hAnsi="Arial" w:cs="Arial"/>
                <w:color w:val="000000"/>
                <w:kern w:val="0"/>
                <w:szCs w:val="21"/>
              </w:rPr>
              <w:t>2</w:t>
            </w:r>
          </w:p>
        </w:tc>
        <w:tc>
          <w:tcPr>
            <w:tcW w:w="0" w:type="auto"/>
            <w:vMerge w:val="continue"/>
            <w:tcBorders>
              <w:top w:val="single" w:color="auto" w:sz="4" w:space="0"/>
              <w:left w:val="single" w:color="auto" w:sz="4" w:space="0"/>
              <w:bottom w:val="single" w:color="auto" w:sz="4" w:space="0"/>
              <w:right w:val="single" w:color="auto" w:sz="4" w:space="0"/>
            </w:tcBorders>
            <w:vAlign w:val="center"/>
          </w:tcPr>
          <w:p>
            <w:pPr>
              <w:widowControl/>
              <w:suppressAutoHyphens/>
              <w:jc w:val="left"/>
              <w:rPr>
                <w:rFonts w:ascii="Arial" w:hAnsi="Arial" w:cs="Arial"/>
                <w:color w:val="000000"/>
                <w:kern w:val="0"/>
                <w:szCs w:val="21"/>
              </w:rPr>
            </w:pPr>
          </w:p>
        </w:tc>
        <w:tc>
          <w:tcPr>
            <w:tcW w:w="5463" w:type="dxa"/>
            <w:tcBorders>
              <w:top w:val="single" w:color="auto" w:sz="4" w:space="0"/>
              <w:left w:val="single" w:color="auto" w:sz="4" w:space="0"/>
              <w:bottom w:val="single" w:color="auto" w:sz="4" w:space="0"/>
              <w:right w:val="single" w:color="auto" w:sz="4" w:space="0"/>
            </w:tcBorders>
            <w:vAlign w:val="center"/>
          </w:tcPr>
          <w:p>
            <w:pPr>
              <w:widowControl/>
              <w:suppressAutoHyphens/>
              <w:jc w:val="left"/>
              <w:rPr>
                <w:rFonts w:ascii="Arial" w:hAnsi="Arial" w:cs="Arial"/>
                <w:color w:val="000000"/>
                <w:kern w:val="0"/>
                <w:szCs w:val="21"/>
              </w:rPr>
            </w:pPr>
            <w:r>
              <w:rPr>
                <w:rFonts w:ascii="Arial" w:hAnsi="Arial" w:cs="Arial"/>
                <w:color w:val="000000"/>
                <w:kern w:val="0"/>
                <w:szCs w:val="21"/>
              </w:rPr>
              <w:t>交换平台部署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879" w:type="dxa"/>
            <w:tcBorders>
              <w:top w:val="single" w:color="auto" w:sz="4" w:space="0"/>
              <w:left w:val="single" w:color="auto" w:sz="4" w:space="0"/>
              <w:bottom w:val="single" w:color="auto" w:sz="4" w:space="0"/>
              <w:right w:val="single" w:color="auto" w:sz="4" w:space="0"/>
            </w:tcBorders>
            <w:vAlign w:val="center"/>
          </w:tcPr>
          <w:p>
            <w:pPr>
              <w:widowControl/>
              <w:suppressAutoHyphens/>
              <w:jc w:val="center"/>
              <w:rPr>
                <w:rFonts w:ascii="Arial" w:hAnsi="Arial" w:cs="Arial"/>
                <w:color w:val="000000"/>
                <w:kern w:val="0"/>
                <w:szCs w:val="21"/>
              </w:rPr>
            </w:pPr>
            <w:r>
              <w:rPr>
                <w:rFonts w:ascii="Arial" w:hAnsi="Arial" w:cs="Arial"/>
                <w:color w:val="000000"/>
                <w:kern w:val="0"/>
                <w:szCs w:val="21"/>
              </w:rPr>
              <w:t>3</w:t>
            </w:r>
          </w:p>
        </w:tc>
        <w:tc>
          <w:tcPr>
            <w:tcW w:w="0" w:type="auto"/>
            <w:vMerge w:val="continue"/>
            <w:tcBorders>
              <w:top w:val="single" w:color="auto" w:sz="4" w:space="0"/>
              <w:left w:val="single" w:color="auto" w:sz="4" w:space="0"/>
              <w:bottom w:val="single" w:color="auto" w:sz="4" w:space="0"/>
              <w:right w:val="single" w:color="auto" w:sz="4" w:space="0"/>
            </w:tcBorders>
            <w:vAlign w:val="center"/>
          </w:tcPr>
          <w:p>
            <w:pPr>
              <w:widowControl/>
              <w:suppressAutoHyphens/>
              <w:jc w:val="left"/>
              <w:rPr>
                <w:rFonts w:ascii="Arial" w:hAnsi="Arial" w:cs="Arial"/>
                <w:color w:val="000000"/>
                <w:kern w:val="0"/>
                <w:szCs w:val="21"/>
              </w:rPr>
            </w:pPr>
          </w:p>
        </w:tc>
        <w:tc>
          <w:tcPr>
            <w:tcW w:w="5463" w:type="dxa"/>
            <w:tcBorders>
              <w:top w:val="single" w:color="auto" w:sz="4" w:space="0"/>
              <w:left w:val="single" w:color="auto" w:sz="4" w:space="0"/>
              <w:bottom w:val="single" w:color="auto" w:sz="4" w:space="0"/>
              <w:right w:val="single" w:color="auto" w:sz="4" w:space="0"/>
            </w:tcBorders>
            <w:vAlign w:val="center"/>
          </w:tcPr>
          <w:p>
            <w:pPr>
              <w:widowControl/>
              <w:suppressAutoHyphens/>
              <w:jc w:val="left"/>
              <w:rPr>
                <w:rFonts w:ascii="Arial" w:hAnsi="Arial" w:cs="Arial"/>
                <w:color w:val="000000"/>
                <w:kern w:val="0"/>
                <w:szCs w:val="21"/>
              </w:rPr>
            </w:pPr>
            <w:r>
              <w:rPr>
                <w:rFonts w:ascii="Arial" w:hAnsi="Arial" w:cs="Arial"/>
                <w:color w:val="000000"/>
                <w:kern w:val="0"/>
                <w:szCs w:val="21"/>
              </w:rPr>
              <w:t>数据库部署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879" w:type="dxa"/>
            <w:tcBorders>
              <w:top w:val="single" w:color="auto" w:sz="4" w:space="0"/>
              <w:left w:val="single" w:color="auto" w:sz="4" w:space="0"/>
              <w:bottom w:val="single" w:color="auto" w:sz="4" w:space="0"/>
              <w:right w:val="single" w:color="auto" w:sz="4" w:space="0"/>
            </w:tcBorders>
            <w:vAlign w:val="center"/>
          </w:tcPr>
          <w:p>
            <w:pPr>
              <w:widowControl/>
              <w:suppressAutoHyphens/>
              <w:jc w:val="center"/>
              <w:rPr>
                <w:rFonts w:ascii="Arial" w:hAnsi="Arial" w:cs="Arial"/>
                <w:color w:val="000000"/>
                <w:kern w:val="0"/>
                <w:szCs w:val="21"/>
              </w:rPr>
            </w:pPr>
            <w:r>
              <w:rPr>
                <w:rFonts w:ascii="Arial" w:hAnsi="Arial" w:cs="Arial"/>
                <w:color w:val="000000"/>
                <w:kern w:val="0"/>
                <w:szCs w:val="21"/>
              </w:rPr>
              <w:t>4</w:t>
            </w:r>
          </w:p>
        </w:tc>
        <w:tc>
          <w:tcPr>
            <w:tcW w:w="0" w:type="auto"/>
            <w:vMerge w:val="continue"/>
            <w:tcBorders>
              <w:top w:val="single" w:color="auto" w:sz="4" w:space="0"/>
              <w:left w:val="single" w:color="auto" w:sz="4" w:space="0"/>
              <w:bottom w:val="single" w:color="auto" w:sz="4" w:space="0"/>
              <w:right w:val="single" w:color="auto" w:sz="4" w:space="0"/>
            </w:tcBorders>
            <w:vAlign w:val="center"/>
          </w:tcPr>
          <w:p>
            <w:pPr>
              <w:widowControl/>
              <w:suppressAutoHyphens/>
              <w:jc w:val="left"/>
              <w:rPr>
                <w:rFonts w:ascii="Arial" w:hAnsi="Arial" w:cs="Arial"/>
                <w:color w:val="000000"/>
                <w:kern w:val="0"/>
                <w:szCs w:val="21"/>
              </w:rPr>
            </w:pPr>
          </w:p>
        </w:tc>
        <w:tc>
          <w:tcPr>
            <w:tcW w:w="5463" w:type="dxa"/>
            <w:tcBorders>
              <w:top w:val="single" w:color="auto" w:sz="4" w:space="0"/>
              <w:left w:val="single" w:color="auto" w:sz="4" w:space="0"/>
              <w:bottom w:val="single" w:color="auto" w:sz="4" w:space="0"/>
              <w:right w:val="single" w:color="auto" w:sz="4" w:space="0"/>
            </w:tcBorders>
            <w:vAlign w:val="center"/>
          </w:tcPr>
          <w:p>
            <w:pPr>
              <w:widowControl/>
              <w:suppressAutoHyphens/>
              <w:jc w:val="left"/>
              <w:rPr>
                <w:rFonts w:ascii="Arial" w:hAnsi="Arial" w:cs="Arial"/>
                <w:color w:val="000000"/>
                <w:kern w:val="0"/>
                <w:szCs w:val="21"/>
              </w:rPr>
            </w:pPr>
            <w:r>
              <w:rPr>
                <w:rFonts w:ascii="Arial" w:hAnsi="Arial" w:cs="Arial"/>
                <w:color w:val="000000"/>
                <w:kern w:val="0"/>
                <w:szCs w:val="21"/>
              </w:rPr>
              <w:t>省局前置系统部署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879" w:type="dxa"/>
            <w:tcBorders>
              <w:top w:val="single" w:color="auto" w:sz="4" w:space="0"/>
              <w:left w:val="single" w:color="auto" w:sz="4" w:space="0"/>
              <w:bottom w:val="single" w:color="auto" w:sz="4" w:space="0"/>
              <w:right w:val="single" w:color="auto" w:sz="4" w:space="0"/>
            </w:tcBorders>
            <w:vAlign w:val="center"/>
          </w:tcPr>
          <w:p>
            <w:pPr>
              <w:widowControl/>
              <w:suppressAutoHyphens/>
              <w:jc w:val="center"/>
              <w:rPr>
                <w:rFonts w:ascii="Arial" w:hAnsi="Arial" w:cs="Arial"/>
                <w:color w:val="000000"/>
                <w:kern w:val="0"/>
                <w:szCs w:val="21"/>
              </w:rPr>
            </w:pPr>
            <w:r>
              <w:rPr>
                <w:rFonts w:ascii="Arial" w:hAnsi="Arial" w:cs="Arial"/>
                <w:color w:val="000000"/>
                <w:kern w:val="0"/>
                <w:szCs w:val="21"/>
              </w:rPr>
              <w:t>5</w:t>
            </w:r>
          </w:p>
        </w:tc>
        <w:tc>
          <w:tcPr>
            <w:tcW w:w="0" w:type="auto"/>
            <w:vMerge w:val="continue"/>
            <w:tcBorders>
              <w:top w:val="single" w:color="auto" w:sz="4" w:space="0"/>
              <w:left w:val="single" w:color="auto" w:sz="4" w:space="0"/>
              <w:bottom w:val="single" w:color="auto" w:sz="4" w:space="0"/>
              <w:right w:val="single" w:color="auto" w:sz="4" w:space="0"/>
            </w:tcBorders>
            <w:vAlign w:val="center"/>
          </w:tcPr>
          <w:p>
            <w:pPr>
              <w:widowControl/>
              <w:suppressAutoHyphens/>
              <w:jc w:val="left"/>
              <w:rPr>
                <w:rFonts w:ascii="Arial" w:hAnsi="Arial" w:cs="Arial"/>
                <w:color w:val="000000"/>
                <w:kern w:val="0"/>
                <w:szCs w:val="21"/>
              </w:rPr>
            </w:pPr>
          </w:p>
        </w:tc>
        <w:tc>
          <w:tcPr>
            <w:tcW w:w="5463" w:type="dxa"/>
            <w:tcBorders>
              <w:top w:val="single" w:color="auto" w:sz="4" w:space="0"/>
              <w:left w:val="single" w:color="auto" w:sz="4" w:space="0"/>
              <w:bottom w:val="single" w:color="auto" w:sz="4" w:space="0"/>
              <w:right w:val="single" w:color="auto" w:sz="4" w:space="0"/>
            </w:tcBorders>
            <w:vAlign w:val="center"/>
          </w:tcPr>
          <w:p>
            <w:pPr>
              <w:widowControl/>
              <w:suppressAutoHyphens/>
              <w:jc w:val="left"/>
              <w:rPr>
                <w:rFonts w:ascii="Arial" w:hAnsi="Arial" w:cs="Arial"/>
                <w:color w:val="000000"/>
                <w:kern w:val="0"/>
                <w:szCs w:val="21"/>
              </w:rPr>
            </w:pPr>
            <w:r>
              <w:rPr>
                <w:rFonts w:ascii="Arial" w:hAnsi="Arial" w:cs="Arial"/>
                <w:color w:val="000000"/>
                <w:kern w:val="0"/>
                <w:szCs w:val="21"/>
              </w:rPr>
              <w:t>地市、区县前置系统部署（如有）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79" w:type="dxa"/>
            <w:tcBorders>
              <w:top w:val="single" w:color="auto" w:sz="4" w:space="0"/>
              <w:left w:val="single" w:color="auto" w:sz="4" w:space="0"/>
              <w:bottom w:val="single" w:color="auto" w:sz="4" w:space="0"/>
              <w:right w:val="single" w:color="auto" w:sz="4" w:space="0"/>
            </w:tcBorders>
            <w:vAlign w:val="center"/>
          </w:tcPr>
          <w:p>
            <w:pPr>
              <w:widowControl/>
              <w:suppressAutoHyphens/>
              <w:jc w:val="center"/>
              <w:rPr>
                <w:rFonts w:ascii="Arial" w:hAnsi="Arial" w:cs="Arial"/>
                <w:color w:val="000000"/>
                <w:kern w:val="0"/>
                <w:szCs w:val="21"/>
              </w:rPr>
            </w:pPr>
            <w:r>
              <w:rPr>
                <w:rFonts w:ascii="Arial" w:hAnsi="Arial" w:cs="Arial"/>
                <w:color w:val="000000"/>
                <w:kern w:val="0"/>
                <w:szCs w:val="21"/>
              </w:rPr>
              <w:t>6</w:t>
            </w:r>
          </w:p>
        </w:tc>
        <w:tc>
          <w:tcPr>
            <w:tcW w:w="2050" w:type="dxa"/>
            <w:vMerge w:val="restart"/>
            <w:tcBorders>
              <w:top w:val="single" w:color="auto" w:sz="4" w:space="0"/>
              <w:left w:val="single" w:color="auto" w:sz="4" w:space="0"/>
              <w:bottom w:val="single" w:color="auto" w:sz="4" w:space="0"/>
              <w:right w:val="single" w:color="auto" w:sz="4" w:space="0"/>
            </w:tcBorders>
            <w:vAlign w:val="center"/>
          </w:tcPr>
          <w:p>
            <w:pPr>
              <w:widowControl/>
              <w:suppressAutoHyphens/>
              <w:jc w:val="center"/>
              <w:rPr>
                <w:rFonts w:ascii="Arial" w:hAnsi="Arial" w:cs="Arial"/>
                <w:color w:val="000000"/>
                <w:kern w:val="0"/>
                <w:szCs w:val="21"/>
              </w:rPr>
            </w:pPr>
            <w:r>
              <w:rPr>
                <w:rFonts w:ascii="Arial" w:hAnsi="Arial" w:cs="Arial"/>
                <w:color w:val="000000"/>
                <w:kern w:val="0"/>
                <w:szCs w:val="21"/>
              </w:rPr>
              <w:t>初始化及流程配置</w:t>
            </w:r>
            <w:r>
              <w:rPr>
                <w:rFonts w:ascii="Arial" w:hAnsi="Arial" w:cs="Arial"/>
                <w:color w:val="000000"/>
                <w:kern w:val="0"/>
                <w:szCs w:val="21"/>
              </w:rPr>
              <w:br w:type="textWrapping"/>
            </w:r>
            <w:r>
              <w:rPr>
                <w:rFonts w:ascii="Arial" w:hAnsi="Arial" w:cs="Arial"/>
                <w:color w:val="000000"/>
                <w:kern w:val="0"/>
                <w:szCs w:val="21"/>
              </w:rPr>
              <w:t>（交换方式本地化适配）</w:t>
            </w:r>
          </w:p>
        </w:tc>
        <w:tc>
          <w:tcPr>
            <w:tcW w:w="5463" w:type="dxa"/>
            <w:tcBorders>
              <w:top w:val="single" w:color="auto" w:sz="4" w:space="0"/>
              <w:left w:val="single" w:color="auto" w:sz="4" w:space="0"/>
              <w:bottom w:val="single" w:color="auto" w:sz="4" w:space="0"/>
              <w:right w:val="single" w:color="auto" w:sz="4" w:space="0"/>
            </w:tcBorders>
            <w:vAlign w:val="center"/>
          </w:tcPr>
          <w:p>
            <w:pPr>
              <w:widowControl/>
              <w:suppressAutoHyphens/>
              <w:jc w:val="left"/>
              <w:rPr>
                <w:rFonts w:ascii="Arial" w:hAnsi="Arial" w:cs="Arial"/>
                <w:color w:val="000000"/>
                <w:kern w:val="0"/>
                <w:szCs w:val="21"/>
              </w:rPr>
            </w:pPr>
            <w:r>
              <w:rPr>
                <w:rFonts w:ascii="Arial" w:hAnsi="Arial" w:cs="Arial"/>
                <w:color w:val="000000"/>
                <w:kern w:val="0"/>
                <w:szCs w:val="21"/>
              </w:rPr>
              <w:t>应用初始化配置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879" w:type="dxa"/>
            <w:tcBorders>
              <w:top w:val="single" w:color="auto" w:sz="4" w:space="0"/>
              <w:left w:val="single" w:color="auto" w:sz="4" w:space="0"/>
              <w:bottom w:val="single" w:color="auto" w:sz="4" w:space="0"/>
              <w:right w:val="single" w:color="auto" w:sz="4" w:space="0"/>
            </w:tcBorders>
            <w:vAlign w:val="center"/>
          </w:tcPr>
          <w:p>
            <w:pPr>
              <w:widowControl/>
              <w:suppressAutoHyphens/>
              <w:jc w:val="center"/>
              <w:rPr>
                <w:rFonts w:ascii="Arial" w:hAnsi="Arial" w:cs="Arial"/>
                <w:color w:val="000000"/>
                <w:kern w:val="0"/>
                <w:szCs w:val="21"/>
              </w:rPr>
            </w:pPr>
            <w:r>
              <w:rPr>
                <w:rFonts w:ascii="Arial" w:hAnsi="Arial" w:cs="Arial"/>
                <w:color w:val="000000"/>
                <w:kern w:val="0"/>
                <w:szCs w:val="21"/>
              </w:rPr>
              <w:t>7</w:t>
            </w:r>
          </w:p>
        </w:tc>
        <w:tc>
          <w:tcPr>
            <w:tcW w:w="0" w:type="auto"/>
            <w:vMerge w:val="continue"/>
            <w:tcBorders>
              <w:top w:val="single" w:color="auto" w:sz="4" w:space="0"/>
              <w:left w:val="single" w:color="auto" w:sz="4" w:space="0"/>
              <w:bottom w:val="single" w:color="auto" w:sz="4" w:space="0"/>
              <w:right w:val="single" w:color="auto" w:sz="4" w:space="0"/>
            </w:tcBorders>
            <w:vAlign w:val="center"/>
          </w:tcPr>
          <w:p>
            <w:pPr>
              <w:widowControl/>
              <w:suppressAutoHyphens/>
              <w:jc w:val="left"/>
              <w:rPr>
                <w:rFonts w:ascii="Arial" w:hAnsi="Arial" w:cs="Arial"/>
                <w:color w:val="000000"/>
                <w:kern w:val="0"/>
                <w:szCs w:val="21"/>
              </w:rPr>
            </w:pPr>
          </w:p>
        </w:tc>
        <w:tc>
          <w:tcPr>
            <w:tcW w:w="5463" w:type="dxa"/>
            <w:tcBorders>
              <w:top w:val="single" w:color="auto" w:sz="4" w:space="0"/>
              <w:left w:val="single" w:color="auto" w:sz="4" w:space="0"/>
              <w:bottom w:val="single" w:color="auto" w:sz="4" w:space="0"/>
              <w:right w:val="single" w:color="auto" w:sz="4" w:space="0"/>
            </w:tcBorders>
            <w:vAlign w:val="center"/>
          </w:tcPr>
          <w:p>
            <w:pPr>
              <w:widowControl/>
              <w:suppressAutoHyphens/>
              <w:jc w:val="left"/>
              <w:rPr>
                <w:rFonts w:ascii="Arial" w:hAnsi="Arial" w:cs="Arial"/>
                <w:color w:val="000000"/>
                <w:kern w:val="0"/>
                <w:szCs w:val="21"/>
              </w:rPr>
            </w:pPr>
            <w:r>
              <w:rPr>
                <w:rFonts w:ascii="Arial" w:hAnsi="Arial" w:cs="Arial"/>
                <w:color w:val="000000"/>
                <w:kern w:val="0"/>
                <w:szCs w:val="21"/>
              </w:rPr>
              <w:t>平台初始化配置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879" w:type="dxa"/>
            <w:tcBorders>
              <w:top w:val="single" w:color="auto" w:sz="4" w:space="0"/>
              <w:left w:val="single" w:color="auto" w:sz="4" w:space="0"/>
              <w:bottom w:val="single" w:color="auto" w:sz="4" w:space="0"/>
              <w:right w:val="single" w:color="auto" w:sz="4" w:space="0"/>
            </w:tcBorders>
            <w:vAlign w:val="center"/>
          </w:tcPr>
          <w:p>
            <w:pPr>
              <w:widowControl/>
              <w:suppressAutoHyphens/>
              <w:jc w:val="center"/>
              <w:rPr>
                <w:rFonts w:ascii="Arial" w:hAnsi="Arial" w:cs="Arial"/>
                <w:color w:val="000000"/>
                <w:kern w:val="0"/>
                <w:szCs w:val="21"/>
              </w:rPr>
            </w:pPr>
            <w:r>
              <w:rPr>
                <w:rFonts w:ascii="Arial" w:hAnsi="Arial" w:cs="Arial"/>
                <w:color w:val="000000"/>
                <w:kern w:val="0"/>
                <w:szCs w:val="21"/>
              </w:rPr>
              <w:t>8</w:t>
            </w:r>
          </w:p>
        </w:tc>
        <w:tc>
          <w:tcPr>
            <w:tcW w:w="0" w:type="auto"/>
            <w:vMerge w:val="continue"/>
            <w:tcBorders>
              <w:top w:val="single" w:color="auto" w:sz="4" w:space="0"/>
              <w:left w:val="single" w:color="auto" w:sz="4" w:space="0"/>
              <w:bottom w:val="single" w:color="auto" w:sz="4" w:space="0"/>
              <w:right w:val="single" w:color="auto" w:sz="4" w:space="0"/>
            </w:tcBorders>
            <w:vAlign w:val="center"/>
          </w:tcPr>
          <w:p>
            <w:pPr>
              <w:widowControl/>
              <w:suppressAutoHyphens/>
              <w:jc w:val="left"/>
              <w:rPr>
                <w:rFonts w:ascii="Arial" w:hAnsi="Arial" w:cs="Arial"/>
                <w:color w:val="000000"/>
                <w:kern w:val="0"/>
                <w:szCs w:val="21"/>
              </w:rPr>
            </w:pPr>
          </w:p>
        </w:tc>
        <w:tc>
          <w:tcPr>
            <w:tcW w:w="5463" w:type="dxa"/>
            <w:tcBorders>
              <w:top w:val="single" w:color="auto" w:sz="4" w:space="0"/>
              <w:left w:val="single" w:color="auto" w:sz="4" w:space="0"/>
              <w:bottom w:val="single" w:color="auto" w:sz="4" w:space="0"/>
              <w:right w:val="single" w:color="auto" w:sz="4" w:space="0"/>
            </w:tcBorders>
            <w:vAlign w:val="center"/>
          </w:tcPr>
          <w:p>
            <w:pPr>
              <w:widowControl/>
              <w:suppressAutoHyphens/>
              <w:jc w:val="left"/>
              <w:rPr>
                <w:rFonts w:ascii="Arial" w:hAnsi="Arial" w:cs="Arial"/>
                <w:color w:val="000000"/>
                <w:kern w:val="0"/>
                <w:szCs w:val="21"/>
              </w:rPr>
            </w:pPr>
            <w:r>
              <w:rPr>
                <w:rFonts w:ascii="Arial" w:hAnsi="Arial" w:cs="Arial"/>
                <w:color w:val="000000"/>
                <w:kern w:val="0"/>
                <w:szCs w:val="21"/>
              </w:rPr>
              <w:t>前置系统注册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879" w:type="dxa"/>
            <w:tcBorders>
              <w:top w:val="single" w:color="auto" w:sz="4" w:space="0"/>
              <w:left w:val="single" w:color="auto" w:sz="4" w:space="0"/>
              <w:bottom w:val="single" w:color="auto" w:sz="4" w:space="0"/>
              <w:right w:val="single" w:color="auto" w:sz="4" w:space="0"/>
            </w:tcBorders>
            <w:vAlign w:val="center"/>
          </w:tcPr>
          <w:p>
            <w:pPr>
              <w:widowControl/>
              <w:suppressAutoHyphens/>
              <w:jc w:val="center"/>
              <w:rPr>
                <w:rFonts w:ascii="Arial" w:hAnsi="Arial" w:cs="Arial"/>
                <w:color w:val="000000"/>
                <w:kern w:val="0"/>
                <w:szCs w:val="21"/>
              </w:rPr>
            </w:pPr>
            <w:r>
              <w:rPr>
                <w:rFonts w:ascii="Arial" w:hAnsi="Arial" w:cs="Arial"/>
                <w:color w:val="000000"/>
                <w:kern w:val="0"/>
                <w:szCs w:val="21"/>
              </w:rPr>
              <w:t>9</w:t>
            </w:r>
          </w:p>
        </w:tc>
        <w:tc>
          <w:tcPr>
            <w:tcW w:w="0" w:type="auto"/>
            <w:vMerge w:val="continue"/>
            <w:tcBorders>
              <w:top w:val="single" w:color="auto" w:sz="4" w:space="0"/>
              <w:left w:val="single" w:color="auto" w:sz="4" w:space="0"/>
              <w:bottom w:val="single" w:color="auto" w:sz="4" w:space="0"/>
              <w:right w:val="single" w:color="auto" w:sz="4" w:space="0"/>
            </w:tcBorders>
            <w:vAlign w:val="center"/>
          </w:tcPr>
          <w:p>
            <w:pPr>
              <w:widowControl/>
              <w:suppressAutoHyphens/>
              <w:jc w:val="left"/>
              <w:rPr>
                <w:rFonts w:ascii="Arial" w:hAnsi="Arial" w:cs="Arial"/>
                <w:color w:val="000000"/>
                <w:kern w:val="0"/>
                <w:szCs w:val="21"/>
              </w:rPr>
            </w:pPr>
          </w:p>
        </w:tc>
        <w:tc>
          <w:tcPr>
            <w:tcW w:w="5463" w:type="dxa"/>
            <w:tcBorders>
              <w:top w:val="single" w:color="auto" w:sz="4" w:space="0"/>
              <w:left w:val="single" w:color="auto" w:sz="4" w:space="0"/>
              <w:bottom w:val="single" w:color="auto" w:sz="4" w:space="0"/>
              <w:right w:val="single" w:color="auto" w:sz="4" w:space="0"/>
            </w:tcBorders>
            <w:vAlign w:val="center"/>
          </w:tcPr>
          <w:p>
            <w:pPr>
              <w:widowControl/>
              <w:suppressAutoHyphens/>
              <w:jc w:val="left"/>
              <w:rPr>
                <w:rFonts w:ascii="Arial" w:hAnsi="Arial" w:cs="Arial"/>
                <w:color w:val="000000"/>
                <w:kern w:val="0"/>
                <w:szCs w:val="21"/>
              </w:rPr>
            </w:pPr>
            <w:r>
              <w:rPr>
                <w:rFonts w:ascii="Arial" w:hAnsi="Arial" w:cs="Arial"/>
                <w:color w:val="000000"/>
                <w:kern w:val="0"/>
                <w:szCs w:val="21"/>
              </w:rPr>
              <w:t>个性化交换方式、交换内容适配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 w:hRule="atLeast"/>
          <w:jc w:val="center"/>
        </w:trPr>
        <w:tc>
          <w:tcPr>
            <w:tcW w:w="879" w:type="dxa"/>
            <w:tcBorders>
              <w:top w:val="single" w:color="auto" w:sz="4" w:space="0"/>
              <w:left w:val="single" w:color="auto" w:sz="4" w:space="0"/>
              <w:bottom w:val="single" w:color="auto" w:sz="4" w:space="0"/>
              <w:right w:val="single" w:color="auto" w:sz="4" w:space="0"/>
            </w:tcBorders>
            <w:vAlign w:val="center"/>
          </w:tcPr>
          <w:p>
            <w:pPr>
              <w:widowControl/>
              <w:suppressAutoHyphens/>
              <w:jc w:val="center"/>
              <w:rPr>
                <w:rFonts w:ascii="Arial" w:hAnsi="Arial" w:cs="Arial"/>
                <w:color w:val="000000"/>
                <w:kern w:val="0"/>
                <w:szCs w:val="21"/>
              </w:rPr>
            </w:pPr>
            <w:r>
              <w:rPr>
                <w:rFonts w:ascii="Arial" w:hAnsi="Arial" w:cs="Arial"/>
                <w:color w:val="000000"/>
                <w:kern w:val="0"/>
                <w:szCs w:val="21"/>
              </w:rPr>
              <w:t>10</w:t>
            </w:r>
          </w:p>
        </w:tc>
        <w:tc>
          <w:tcPr>
            <w:tcW w:w="0" w:type="auto"/>
            <w:vMerge w:val="continue"/>
            <w:tcBorders>
              <w:top w:val="single" w:color="auto" w:sz="4" w:space="0"/>
              <w:left w:val="single" w:color="auto" w:sz="4" w:space="0"/>
              <w:bottom w:val="single" w:color="auto" w:sz="4" w:space="0"/>
              <w:right w:val="single" w:color="auto" w:sz="4" w:space="0"/>
            </w:tcBorders>
            <w:vAlign w:val="center"/>
          </w:tcPr>
          <w:p>
            <w:pPr>
              <w:widowControl/>
              <w:suppressAutoHyphens/>
              <w:jc w:val="left"/>
              <w:rPr>
                <w:rFonts w:ascii="Arial" w:hAnsi="Arial" w:cs="Arial"/>
                <w:color w:val="000000"/>
                <w:kern w:val="0"/>
                <w:szCs w:val="21"/>
              </w:rPr>
            </w:pPr>
          </w:p>
        </w:tc>
        <w:tc>
          <w:tcPr>
            <w:tcW w:w="5463" w:type="dxa"/>
            <w:tcBorders>
              <w:top w:val="single" w:color="auto" w:sz="4" w:space="0"/>
              <w:left w:val="single" w:color="auto" w:sz="4" w:space="0"/>
              <w:bottom w:val="single" w:color="auto" w:sz="4" w:space="0"/>
              <w:right w:val="single" w:color="auto" w:sz="4" w:space="0"/>
            </w:tcBorders>
            <w:vAlign w:val="center"/>
          </w:tcPr>
          <w:p>
            <w:pPr>
              <w:widowControl/>
              <w:suppressAutoHyphens/>
              <w:jc w:val="left"/>
              <w:rPr>
                <w:rFonts w:ascii="Arial" w:hAnsi="Arial" w:cs="Arial"/>
                <w:color w:val="000000"/>
                <w:kern w:val="0"/>
                <w:szCs w:val="21"/>
              </w:rPr>
            </w:pPr>
            <w:r>
              <w:rPr>
                <w:rFonts w:ascii="Arial" w:hAnsi="Arial" w:cs="Arial"/>
                <w:color w:val="000000"/>
                <w:kern w:val="0"/>
                <w:szCs w:val="21"/>
              </w:rPr>
              <w:t>数据采集、反馈流程配置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 w:hRule="atLeast"/>
          <w:jc w:val="center"/>
        </w:trPr>
        <w:tc>
          <w:tcPr>
            <w:tcW w:w="879" w:type="dxa"/>
            <w:tcBorders>
              <w:top w:val="single" w:color="auto" w:sz="4" w:space="0"/>
              <w:left w:val="single" w:color="auto" w:sz="4" w:space="0"/>
              <w:bottom w:val="single" w:color="auto" w:sz="4" w:space="0"/>
              <w:right w:val="single" w:color="auto" w:sz="4" w:space="0"/>
            </w:tcBorders>
            <w:vAlign w:val="center"/>
          </w:tcPr>
          <w:p>
            <w:pPr>
              <w:widowControl/>
              <w:suppressAutoHyphens/>
              <w:jc w:val="center"/>
              <w:rPr>
                <w:rFonts w:ascii="Arial" w:hAnsi="Arial" w:cs="Arial"/>
                <w:color w:val="000000"/>
                <w:kern w:val="0"/>
                <w:szCs w:val="21"/>
              </w:rPr>
            </w:pPr>
            <w:r>
              <w:rPr>
                <w:rFonts w:ascii="Arial" w:hAnsi="Arial" w:cs="Arial"/>
                <w:color w:val="000000"/>
                <w:kern w:val="0"/>
                <w:szCs w:val="21"/>
              </w:rPr>
              <w:t>11</w:t>
            </w:r>
          </w:p>
        </w:tc>
        <w:tc>
          <w:tcPr>
            <w:tcW w:w="2050" w:type="dxa"/>
            <w:vMerge w:val="restart"/>
            <w:tcBorders>
              <w:top w:val="single" w:color="auto" w:sz="4" w:space="0"/>
              <w:left w:val="single" w:color="auto" w:sz="4" w:space="0"/>
              <w:bottom w:val="single" w:color="auto" w:sz="4" w:space="0"/>
              <w:right w:val="single" w:color="auto" w:sz="4" w:space="0"/>
            </w:tcBorders>
            <w:vAlign w:val="center"/>
          </w:tcPr>
          <w:p>
            <w:pPr>
              <w:widowControl/>
              <w:suppressAutoHyphens/>
              <w:jc w:val="center"/>
              <w:rPr>
                <w:rFonts w:ascii="Arial" w:hAnsi="Arial" w:cs="Arial"/>
                <w:color w:val="000000"/>
                <w:kern w:val="0"/>
                <w:szCs w:val="21"/>
              </w:rPr>
            </w:pPr>
            <w:r>
              <w:rPr>
                <w:rFonts w:ascii="Arial" w:hAnsi="Arial" w:cs="Arial"/>
                <w:color w:val="000000"/>
                <w:kern w:val="0"/>
                <w:szCs w:val="21"/>
              </w:rPr>
              <w:t>联调测试（交换方式本地化适配）</w:t>
            </w:r>
          </w:p>
        </w:tc>
        <w:tc>
          <w:tcPr>
            <w:tcW w:w="5463" w:type="dxa"/>
            <w:tcBorders>
              <w:top w:val="single" w:color="auto" w:sz="4" w:space="0"/>
              <w:left w:val="single" w:color="auto" w:sz="4" w:space="0"/>
              <w:bottom w:val="single" w:color="auto" w:sz="4" w:space="0"/>
              <w:right w:val="single" w:color="auto" w:sz="4" w:space="0"/>
            </w:tcBorders>
            <w:vAlign w:val="center"/>
          </w:tcPr>
          <w:p>
            <w:pPr>
              <w:widowControl/>
              <w:suppressAutoHyphens/>
              <w:jc w:val="left"/>
              <w:rPr>
                <w:rFonts w:ascii="Arial" w:hAnsi="Arial" w:cs="Arial"/>
                <w:color w:val="000000"/>
                <w:kern w:val="0"/>
                <w:szCs w:val="21"/>
              </w:rPr>
            </w:pPr>
            <w:r>
              <w:rPr>
                <w:rFonts w:ascii="Arial" w:hAnsi="Arial" w:cs="Arial"/>
                <w:color w:val="000000"/>
                <w:kern w:val="0"/>
                <w:szCs w:val="21"/>
              </w:rPr>
              <w:t>信息共享平台税务端与人社端的调测试工作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879" w:type="dxa"/>
            <w:tcBorders>
              <w:top w:val="single" w:color="auto" w:sz="4" w:space="0"/>
              <w:left w:val="single" w:color="auto" w:sz="4" w:space="0"/>
              <w:bottom w:val="single" w:color="auto" w:sz="4" w:space="0"/>
              <w:right w:val="single" w:color="auto" w:sz="4" w:space="0"/>
            </w:tcBorders>
            <w:vAlign w:val="center"/>
          </w:tcPr>
          <w:p>
            <w:pPr>
              <w:widowControl/>
              <w:suppressAutoHyphens/>
              <w:jc w:val="center"/>
              <w:rPr>
                <w:rFonts w:ascii="Arial" w:hAnsi="Arial" w:cs="Arial"/>
                <w:color w:val="000000"/>
                <w:kern w:val="0"/>
                <w:szCs w:val="21"/>
              </w:rPr>
            </w:pPr>
            <w:r>
              <w:rPr>
                <w:rFonts w:ascii="Arial" w:hAnsi="Arial" w:cs="Arial"/>
                <w:color w:val="000000"/>
                <w:kern w:val="0"/>
                <w:szCs w:val="21"/>
              </w:rPr>
              <w:t>12</w:t>
            </w:r>
          </w:p>
        </w:tc>
        <w:tc>
          <w:tcPr>
            <w:tcW w:w="0" w:type="auto"/>
            <w:vMerge w:val="continue"/>
            <w:tcBorders>
              <w:top w:val="single" w:color="auto" w:sz="4" w:space="0"/>
              <w:left w:val="single" w:color="auto" w:sz="4" w:space="0"/>
              <w:bottom w:val="single" w:color="auto" w:sz="4" w:space="0"/>
              <w:right w:val="single" w:color="auto" w:sz="4" w:space="0"/>
            </w:tcBorders>
            <w:vAlign w:val="center"/>
          </w:tcPr>
          <w:p>
            <w:pPr>
              <w:widowControl/>
              <w:suppressAutoHyphens/>
              <w:jc w:val="left"/>
              <w:rPr>
                <w:rFonts w:ascii="Arial" w:hAnsi="Arial" w:cs="Arial"/>
                <w:color w:val="000000"/>
                <w:kern w:val="0"/>
                <w:szCs w:val="21"/>
              </w:rPr>
            </w:pPr>
          </w:p>
        </w:tc>
        <w:tc>
          <w:tcPr>
            <w:tcW w:w="5463" w:type="dxa"/>
            <w:tcBorders>
              <w:top w:val="single" w:color="auto" w:sz="4" w:space="0"/>
              <w:left w:val="single" w:color="auto" w:sz="4" w:space="0"/>
              <w:bottom w:val="single" w:color="auto" w:sz="4" w:space="0"/>
              <w:right w:val="single" w:color="auto" w:sz="4" w:space="0"/>
            </w:tcBorders>
            <w:vAlign w:val="center"/>
          </w:tcPr>
          <w:p>
            <w:pPr>
              <w:widowControl/>
              <w:suppressAutoHyphens/>
              <w:jc w:val="left"/>
              <w:rPr>
                <w:rFonts w:ascii="Arial" w:hAnsi="Arial" w:cs="Arial"/>
                <w:color w:val="000000"/>
                <w:kern w:val="0"/>
                <w:szCs w:val="21"/>
              </w:rPr>
            </w:pPr>
            <w:r>
              <w:rPr>
                <w:rFonts w:ascii="Arial" w:hAnsi="Arial" w:cs="Arial"/>
                <w:color w:val="000000"/>
                <w:kern w:val="0"/>
                <w:szCs w:val="21"/>
              </w:rPr>
              <w:t>模拟数据，配合各子系统的联调测试工作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7" w:hRule="atLeast"/>
          <w:jc w:val="center"/>
        </w:trPr>
        <w:tc>
          <w:tcPr>
            <w:tcW w:w="879" w:type="dxa"/>
            <w:tcBorders>
              <w:top w:val="single" w:color="auto" w:sz="4" w:space="0"/>
              <w:left w:val="single" w:color="auto" w:sz="4" w:space="0"/>
              <w:bottom w:val="single" w:color="auto" w:sz="4" w:space="0"/>
              <w:right w:val="single" w:color="auto" w:sz="4" w:space="0"/>
            </w:tcBorders>
            <w:vAlign w:val="center"/>
          </w:tcPr>
          <w:p>
            <w:pPr>
              <w:widowControl/>
              <w:suppressAutoHyphens/>
              <w:jc w:val="center"/>
              <w:rPr>
                <w:rFonts w:ascii="Arial" w:hAnsi="Arial" w:cs="Arial"/>
                <w:color w:val="000000"/>
                <w:kern w:val="0"/>
                <w:szCs w:val="21"/>
              </w:rPr>
            </w:pPr>
            <w:r>
              <w:rPr>
                <w:rFonts w:ascii="Arial" w:hAnsi="Arial" w:cs="Arial"/>
                <w:color w:val="000000"/>
                <w:kern w:val="0"/>
                <w:szCs w:val="21"/>
              </w:rPr>
              <w:t>13</w:t>
            </w:r>
          </w:p>
        </w:tc>
        <w:tc>
          <w:tcPr>
            <w:tcW w:w="2050" w:type="dxa"/>
            <w:tcBorders>
              <w:top w:val="single" w:color="auto" w:sz="4" w:space="0"/>
              <w:left w:val="single" w:color="auto" w:sz="4" w:space="0"/>
              <w:bottom w:val="single" w:color="auto" w:sz="4" w:space="0"/>
              <w:right w:val="single" w:color="auto" w:sz="4" w:space="0"/>
            </w:tcBorders>
            <w:vAlign w:val="center"/>
          </w:tcPr>
          <w:p>
            <w:pPr>
              <w:widowControl/>
              <w:suppressAutoHyphens/>
              <w:jc w:val="center"/>
              <w:rPr>
                <w:rFonts w:ascii="Arial" w:hAnsi="Arial" w:cs="Arial"/>
                <w:kern w:val="0"/>
                <w:szCs w:val="21"/>
              </w:rPr>
            </w:pPr>
            <w:r>
              <w:rPr>
                <w:rFonts w:ascii="Arial" w:hAnsi="Arial" w:cs="Arial"/>
                <w:kern w:val="0"/>
                <w:szCs w:val="21"/>
              </w:rPr>
              <w:t>全流程测试</w:t>
            </w:r>
          </w:p>
        </w:tc>
        <w:tc>
          <w:tcPr>
            <w:tcW w:w="5463" w:type="dxa"/>
            <w:tcBorders>
              <w:top w:val="single" w:color="auto" w:sz="4" w:space="0"/>
              <w:left w:val="single" w:color="auto" w:sz="4" w:space="0"/>
              <w:bottom w:val="single" w:color="auto" w:sz="4" w:space="0"/>
              <w:right w:val="single" w:color="auto" w:sz="4" w:space="0"/>
            </w:tcBorders>
            <w:vAlign w:val="center"/>
          </w:tcPr>
          <w:p>
            <w:pPr>
              <w:widowControl/>
              <w:suppressAutoHyphens/>
              <w:jc w:val="left"/>
              <w:rPr>
                <w:rFonts w:ascii="Arial" w:hAnsi="Arial" w:cs="Arial"/>
                <w:color w:val="000000"/>
                <w:kern w:val="0"/>
                <w:szCs w:val="21"/>
              </w:rPr>
            </w:pPr>
            <w:r>
              <w:rPr>
                <w:rFonts w:ascii="Arial" w:hAnsi="Arial" w:cs="Arial"/>
                <w:color w:val="000000"/>
                <w:kern w:val="0"/>
                <w:szCs w:val="21"/>
              </w:rPr>
              <w:t>模拟数据，参与全业务全流程联调测试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 w:hRule="atLeast"/>
          <w:jc w:val="center"/>
        </w:trPr>
        <w:tc>
          <w:tcPr>
            <w:tcW w:w="879" w:type="dxa"/>
            <w:tcBorders>
              <w:top w:val="single" w:color="auto" w:sz="4" w:space="0"/>
              <w:left w:val="single" w:color="auto" w:sz="4" w:space="0"/>
              <w:bottom w:val="single" w:color="auto" w:sz="4" w:space="0"/>
              <w:right w:val="single" w:color="auto" w:sz="4" w:space="0"/>
            </w:tcBorders>
            <w:vAlign w:val="center"/>
          </w:tcPr>
          <w:p>
            <w:pPr>
              <w:widowControl/>
              <w:suppressAutoHyphens/>
              <w:jc w:val="center"/>
              <w:rPr>
                <w:rFonts w:ascii="Arial" w:hAnsi="Arial" w:cs="Arial"/>
                <w:color w:val="000000"/>
                <w:kern w:val="0"/>
                <w:szCs w:val="21"/>
              </w:rPr>
            </w:pPr>
            <w:r>
              <w:rPr>
                <w:rFonts w:ascii="Arial" w:hAnsi="Arial" w:cs="Arial"/>
                <w:color w:val="000000"/>
                <w:kern w:val="0"/>
                <w:szCs w:val="21"/>
              </w:rPr>
              <w:t>14</w:t>
            </w:r>
          </w:p>
        </w:tc>
        <w:tc>
          <w:tcPr>
            <w:tcW w:w="2050" w:type="dxa"/>
            <w:tcBorders>
              <w:top w:val="single" w:color="auto" w:sz="4" w:space="0"/>
              <w:left w:val="single" w:color="auto" w:sz="4" w:space="0"/>
              <w:bottom w:val="single" w:color="auto" w:sz="4" w:space="0"/>
              <w:right w:val="single" w:color="auto" w:sz="4" w:space="0"/>
            </w:tcBorders>
            <w:vAlign w:val="center"/>
          </w:tcPr>
          <w:p>
            <w:pPr>
              <w:widowControl/>
              <w:suppressAutoHyphens/>
              <w:jc w:val="center"/>
              <w:rPr>
                <w:rFonts w:ascii="Arial" w:hAnsi="Arial" w:cs="Arial"/>
                <w:kern w:val="0"/>
                <w:szCs w:val="21"/>
              </w:rPr>
            </w:pPr>
            <w:r>
              <w:rPr>
                <w:rFonts w:ascii="Arial" w:hAnsi="Arial" w:cs="Arial"/>
                <w:kern w:val="0"/>
                <w:szCs w:val="21"/>
              </w:rPr>
              <w:t>压力测试</w:t>
            </w:r>
          </w:p>
        </w:tc>
        <w:tc>
          <w:tcPr>
            <w:tcW w:w="5463" w:type="dxa"/>
            <w:tcBorders>
              <w:top w:val="single" w:color="auto" w:sz="4" w:space="0"/>
              <w:left w:val="single" w:color="auto" w:sz="4" w:space="0"/>
              <w:bottom w:val="single" w:color="auto" w:sz="4" w:space="0"/>
              <w:right w:val="single" w:color="auto" w:sz="4" w:space="0"/>
            </w:tcBorders>
            <w:vAlign w:val="center"/>
          </w:tcPr>
          <w:p>
            <w:pPr>
              <w:widowControl/>
              <w:suppressAutoHyphens/>
              <w:jc w:val="left"/>
              <w:rPr>
                <w:rFonts w:ascii="Arial" w:hAnsi="Arial" w:cs="Arial"/>
                <w:color w:val="000000"/>
                <w:kern w:val="0"/>
                <w:szCs w:val="21"/>
              </w:rPr>
            </w:pPr>
            <w:r>
              <w:rPr>
                <w:rFonts w:ascii="Arial" w:hAnsi="Arial" w:cs="Arial"/>
                <w:color w:val="000000"/>
                <w:kern w:val="0"/>
                <w:szCs w:val="21"/>
              </w:rPr>
              <w:t>成性能测试工具部署，测试数据准备工作，完成社保费信息共享平台性能测试工作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879" w:type="dxa"/>
            <w:tcBorders>
              <w:top w:val="single" w:color="auto" w:sz="4" w:space="0"/>
              <w:left w:val="single" w:color="auto" w:sz="4" w:space="0"/>
              <w:bottom w:val="single" w:color="auto" w:sz="4" w:space="0"/>
              <w:right w:val="single" w:color="auto" w:sz="4" w:space="0"/>
            </w:tcBorders>
            <w:vAlign w:val="center"/>
          </w:tcPr>
          <w:p>
            <w:pPr>
              <w:widowControl/>
              <w:suppressAutoHyphens/>
              <w:jc w:val="center"/>
              <w:rPr>
                <w:rFonts w:ascii="Arial" w:hAnsi="Arial" w:cs="Arial"/>
                <w:color w:val="000000"/>
                <w:kern w:val="0"/>
                <w:szCs w:val="21"/>
              </w:rPr>
            </w:pPr>
            <w:r>
              <w:rPr>
                <w:rFonts w:ascii="Arial" w:hAnsi="Arial" w:cs="Arial"/>
                <w:color w:val="000000"/>
                <w:kern w:val="0"/>
                <w:szCs w:val="21"/>
              </w:rPr>
              <w:t>15</w:t>
            </w:r>
          </w:p>
        </w:tc>
        <w:tc>
          <w:tcPr>
            <w:tcW w:w="2050" w:type="dxa"/>
            <w:vMerge w:val="restart"/>
            <w:tcBorders>
              <w:top w:val="single" w:color="auto" w:sz="4" w:space="0"/>
              <w:left w:val="single" w:color="auto" w:sz="4" w:space="0"/>
              <w:bottom w:val="single" w:color="auto" w:sz="4" w:space="0"/>
              <w:right w:val="single" w:color="auto" w:sz="4" w:space="0"/>
            </w:tcBorders>
            <w:vAlign w:val="center"/>
          </w:tcPr>
          <w:p>
            <w:pPr>
              <w:widowControl/>
              <w:suppressAutoHyphens/>
              <w:jc w:val="center"/>
              <w:rPr>
                <w:rFonts w:ascii="Arial" w:hAnsi="Arial" w:cs="Arial"/>
                <w:kern w:val="0"/>
                <w:szCs w:val="21"/>
              </w:rPr>
            </w:pPr>
            <w:r>
              <w:rPr>
                <w:rFonts w:ascii="Arial" w:hAnsi="Arial" w:cs="Arial"/>
                <w:kern w:val="0"/>
                <w:szCs w:val="21"/>
              </w:rPr>
              <w:t>数据清理</w:t>
            </w:r>
          </w:p>
        </w:tc>
        <w:tc>
          <w:tcPr>
            <w:tcW w:w="5463" w:type="dxa"/>
            <w:tcBorders>
              <w:top w:val="single" w:color="auto" w:sz="4" w:space="0"/>
              <w:left w:val="single" w:color="auto" w:sz="4" w:space="0"/>
              <w:bottom w:val="single" w:color="auto" w:sz="4" w:space="0"/>
              <w:right w:val="single" w:color="auto" w:sz="4" w:space="0"/>
            </w:tcBorders>
            <w:vAlign w:val="center"/>
          </w:tcPr>
          <w:p>
            <w:pPr>
              <w:widowControl/>
              <w:suppressAutoHyphens/>
              <w:jc w:val="left"/>
              <w:rPr>
                <w:rFonts w:ascii="Arial" w:hAnsi="Arial" w:cs="Arial"/>
                <w:color w:val="000000"/>
                <w:kern w:val="0"/>
                <w:szCs w:val="21"/>
              </w:rPr>
            </w:pPr>
            <w:r>
              <w:rPr>
                <w:rFonts w:ascii="Arial" w:hAnsi="Arial" w:cs="Arial"/>
                <w:color w:val="000000"/>
                <w:kern w:val="0"/>
                <w:szCs w:val="21"/>
              </w:rPr>
              <w:t>完成本省生产环境数据清理工作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879" w:type="dxa"/>
            <w:tcBorders>
              <w:top w:val="single" w:color="auto" w:sz="4" w:space="0"/>
              <w:left w:val="single" w:color="auto" w:sz="4" w:space="0"/>
              <w:bottom w:val="single" w:color="auto" w:sz="4" w:space="0"/>
              <w:right w:val="single" w:color="auto" w:sz="4" w:space="0"/>
            </w:tcBorders>
            <w:vAlign w:val="center"/>
          </w:tcPr>
          <w:p>
            <w:pPr>
              <w:widowControl/>
              <w:suppressAutoHyphens/>
              <w:jc w:val="center"/>
              <w:rPr>
                <w:rFonts w:ascii="Arial" w:hAnsi="Arial" w:cs="Arial"/>
                <w:color w:val="000000"/>
                <w:kern w:val="0"/>
                <w:szCs w:val="21"/>
              </w:rPr>
            </w:pPr>
            <w:r>
              <w:rPr>
                <w:rFonts w:ascii="Arial" w:hAnsi="Arial" w:cs="Arial"/>
                <w:color w:val="000000"/>
                <w:kern w:val="0"/>
                <w:szCs w:val="21"/>
              </w:rPr>
              <w:t>16</w:t>
            </w:r>
          </w:p>
        </w:tc>
        <w:tc>
          <w:tcPr>
            <w:tcW w:w="0" w:type="auto"/>
            <w:vMerge w:val="continue"/>
            <w:tcBorders>
              <w:top w:val="single" w:color="auto" w:sz="4" w:space="0"/>
              <w:left w:val="single" w:color="auto" w:sz="4" w:space="0"/>
              <w:bottom w:val="single" w:color="auto" w:sz="4" w:space="0"/>
              <w:right w:val="single" w:color="auto" w:sz="4" w:space="0"/>
            </w:tcBorders>
            <w:vAlign w:val="center"/>
          </w:tcPr>
          <w:p>
            <w:pPr>
              <w:widowControl/>
              <w:suppressAutoHyphens/>
              <w:jc w:val="left"/>
              <w:rPr>
                <w:rFonts w:ascii="Arial" w:hAnsi="Arial" w:cs="Arial"/>
                <w:kern w:val="0"/>
                <w:szCs w:val="21"/>
              </w:rPr>
            </w:pPr>
          </w:p>
        </w:tc>
        <w:tc>
          <w:tcPr>
            <w:tcW w:w="5463" w:type="dxa"/>
            <w:tcBorders>
              <w:top w:val="single" w:color="auto" w:sz="4" w:space="0"/>
              <w:left w:val="single" w:color="auto" w:sz="4" w:space="0"/>
              <w:bottom w:val="single" w:color="auto" w:sz="4" w:space="0"/>
              <w:right w:val="single" w:color="auto" w:sz="4" w:space="0"/>
            </w:tcBorders>
            <w:vAlign w:val="center"/>
          </w:tcPr>
          <w:p>
            <w:pPr>
              <w:widowControl/>
              <w:suppressAutoHyphens/>
              <w:jc w:val="left"/>
              <w:rPr>
                <w:rFonts w:ascii="Arial" w:hAnsi="Arial" w:cs="Arial"/>
                <w:color w:val="000000"/>
                <w:kern w:val="0"/>
                <w:szCs w:val="21"/>
              </w:rPr>
            </w:pPr>
            <w:r>
              <w:rPr>
                <w:rFonts w:ascii="Arial" w:hAnsi="Arial" w:cs="Arial"/>
                <w:color w:val="000000"/>
                <w:kern w:val="0"/>
                <w:szCs w:val="21"/>
              </w:rPr>
              <w:t>完成信息共享平台初始化流程配置检查与验证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 w:hRule="atLeast"/>
          <w:jc w:val="center"/>
        </w:trPr>
        <w:tc>
          <w:tcPr>
            <w:tcW w:w="879" w:type="dxa"/>
            <w:tcBorders>
              <w:top w:val="single" w:color="auto" w:sz="4" w:space="0"/>
              <w:left w:val="single" w:color="auto" w:sz="4" w:space="0"/>
              <w:bottom w:val="single" w:color="auto" w:sz="4" w:space="0"/>
              <w:right w:val="single" w:color="auto" w:sz="4" w:space="0"/>
            </w:tcBorders>
            <w:vAlign w:val="center"/>
          </w:tcPr>
          <w:p>
            <w:pPr>
              <w:widowControl/>
              <w:suppressAutoHyphens/>
              <w:jc w:val="center"/>
              <w:rPr>
                <w:rFonts w:ascii="Arial" w:hAnsi="Arial" w:cs="Arial"/>
                <w:color w:val="000000"/>
                <w:kern w:val="0"/>
                <w:szCs w:val="21"/>
              </w:rPr>
            </w:pPr>
            <w:r>
              <w:rPr>
                <w:rFonts w:ascii="Arial" w:hAnsi="Arial" w:cs="Arial"/>
                <w:color w:val="000000"/>
                <w:kern w:val="0"/>
                <w:szCs w:val="21"/>
              </w:rPr>
              <w:t>17</w:t>
            </w:r>
          </w:p>
        </w:tc>
        <w:tc>
          <w:tcPr>
            <w:tcW w:w="2050" w:type="dxa"/>
            <w:tcBorders>
              <w:top w:val="single" w:color="auto" w:sz="4" w:space="0"/>
              <w:left w:val="single" w:color="auto" w:sz="4" w:space="0"/>
              <w:bottom w:val="single" w:color="auto" w:sz="4" w:space="0"/>
              <w:right w:val="single" w:color="auto" w:sz="4" w:space="0"/>
            </w:tcBorders>
            <w:vAlign w:val="center"/>
          </w:tcPr>
          <w:p>
            <w:pPr>
              <w:widowControl/>
              <w:suppressAutoHyphens/>
              <w:jc w:val="center"/>
              <w:rPr>
                <w:rFonts w:ascii="Arial" w:hAnsi="Arial" w:cs="Arial"/>
                <w:kern w:val="0"/>
                <w:szCs w:val="21"/>
              </w:rPr>
            </w:pPr>
            <w:r>
              <w:rPr>
                <w:rFonts w:ascii="Arial" w:hAnsi="Arial" w:cs="Arial"/>
                <w:kern w:val="0"/>
                <w:szCs w:val="21"/>
              </w:rPr>
              <w:t>系统操作培训</w:t>
            </w:r>
          </w:p>
        </w:tc>
        <w:tc>
          <w:tcPr>
            <w:tcW w:w="5463" w:type="dxa"/>
            <w:tcBorders>
              <w:top w:val="single" w:color="auto" w:sz="4" w:space="0"/>
              <w:left w:val="single" w:color="auto" w:sz="4" w:space="0"/>
              <w:bottom w:val="single" w:color="auto" w:sz="4" w:space="0"/>
              <w:right w:val="single" w:color="auto" w:sz="4" w:space="0"/>
            </w:tcBorders>
            <w:vAlign w:val="center"/>
          </w:tcPr>
          <w:p>
            <w:pPr>
              <w:widowControl/>
              <w:suppressAutoHyphens/>
              <w:jc w:val="left"/>
              <w:rPr>
                <w:rFonts w:ascii="Arial" w:hAnsi="Arial" w:cs="Arial"/>
                <w:color w:val="000000"/>
                <w:kern w:val="0"/>
                <w:szCs w:val="21"/>
              </w:rPr>
            </w:pPr>
            <w:r>
              <w:rPr>
                <w:rFonts w:ascii="Arial" w:hAnsi="Arial" w:cs="Arial"/>
                <w:color w:val="000000"/>
                <w:kern w:val="0"/>
                <w:szCs w:val="21"/>
              </w:rPr>
              <w:t>系统操作培训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 w:hRule="atLeast"/>
          <w:jc w:val="center"/>
        </w:trPr>
        <w:tc>
          <w:tcPr>
            <w:tcW w:w="879" w:type="dxa"/>
            <w:tcBorders>
              <w:top w:val="single" w:color="auto" w:sz="4" w:space="0"/>
              <w:left w:val="single" w:color="auto" w:sz="4" w:space="0"/>
              <w:bottom w:val="single" w:color="auto" w:sz="4" w:space="0"/>
              <w:right w:val="single" w:color="auto" w:sz="4" w:space="0"/>
            </w:tcBorders>
            <w:vAlign w:val="center"/>
          </w:tcPr>
          <w:p>
            <w:pPr>
              <w:widowControl/>
              <w:suppressAutoHyphens/>
              <w:jc w:val="center"/>
              <w:rPr>
                <w:rFonts w:ascii="Arial" w:hAnsi="Arial" w:cs="Arial"/>
                <w:color w:val="000000"/>
                <w:kern w:val="0"/>
                <w:szCs w:val="21"/>
              </w:rPr>
            </w:pPr>
            <w:r>
              <w:rPr>
                <w:rFonts w:ascii="Arial" w:hAnsi="Arial" w:cs="Arial"/>
                <w:color w:val="000000"/>
                <w:kern w:val="0"/>
                <w:szCs w:val="21"/>
              </w:rPr>
              <w:t>18</w:t>
            </w:r>
          </w:p>
        </w:tc>
        <w:tc>
          <w:tcPr>
            <w:tcW w:w="2050" w:type="dxa"/>
            <w:tcBorders>
              <w:top w:val="single" w:color="auto" w:sz="4" w:space="0"/>
              <w:left w:val="single" w:color="auto" w:sz="4" w:space="0"/>
              <w:bottom w:val="single" w:color="auto" w:sz="4" w:space="0"/>
              <w:right w:val="single" w:color="auto" w:sz="4" w:space="0"/>
            </w:tcBorders>
            <w:vAlign w:val="center"/>
          </w:tcPr>
          <w:p>
            <w:pPr>
              <w:widowControl/>
              <w:suppressAutoHyphens/>
              <w:jc w:val="center"/>
              <w:rPr>
                <w:rFonts w:ascii="Arial" w:hAnsi="Arial" w:cs="Arial"/>
                <w:kern w:val="0"/>
                <w:szCs w:val="21"/>
              </w:rPr>
            </w:pPr>
            <w:r>
              <w:rPr>
                <w:rFonts w:ascii="Arial" w:hAnsi="Arial" w:cs="Arial"/>
                <w:kern w:val="0"/>
                <w:szCs w:val="21"/>
              </w:rPr>
              <w:t>系统上线</w:t>
            </w:r>
          </w:p>
        </w:tc>
        <w:tc>
          <w:tcPr>
            <w:tcW w:w="5463" w:type="dxa"/>
            <w:tcBorders>
              <w:top w:val="single" w:color="auto" w:sz="4" w:space="0"/>
              <w:left w:val="single" w:color="auto" w:sz="4" w:space="0"/>
              <w:bottom w:val="single" w:color="auto" w:sz="4" w:space="0"/>
              <w:right w:val="single" w:color="auto" w:sz="4" w:space="0"/>
            </w:tcBorders>
            <w:vAlign w:val="center"/>
          </w:tcPr>
          <w:p>
            <w:pPr>
              <w:widowControl/>
              <w:suppressAutoHyphens/>
              <w:jc w:val="left"/>
              <w:rPr>
                <w:rFonts w:ascii="Arial" w:hAnsi="Arial" w:cs="Arial"/>
                <w:color w:val="000000"/>
                <w:kern w:val="0"/>
                <w:szCs w:val="21"/>
              </w:rPr>
            </w:pPr>
            <w:r>
              <w:rPr>
                <w:rFonts w:ascii="Arial" w:hAnsi="Arial" w:cs="Arial"/>
                <w:color w:val="000000"/>
                <w:kern w:val="0"/>
                <w:szCs w:val="21"/>
              </w:rPr>
              <w:t>系统上线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 w:hRule="atLeast"/>
          <w:jc w:val="center"/>
        </w:trPr>
        <w:tc>
          <w:tcPr>
            <w:tcW w:w="879" w:type="dxa"/>
            <w:tcBorders>
              <w:top w:val="single" w:color="auto" w:sz="4" w:space="0"/>
              <w:left w:val="single" w:color="auto" w:sz="4" w:space="0"/>
              <w:bottom w:val="single" w:color="auto" w:sz="4" w:space="0"/>
              <w:right w:val="single" w:color="auto" w:sz="4" w:space="0"/>
            </w:tcBorders>
            <w:vAlign w:val="center"/>
          </w:tcPr>
          <w:p>
            <w:pPr>
              <w:widowControl/>
              <w:suppressAutoHyphens/>
              <w:jc w:val="center"/>
              <w:rPr>
                <w:rFonts w:ascii="Arial" w:hAnsi="Arial" w:cs="Arial"/>
                <w:color w:val="000000"/>
                <w:kern w:val="0"/>
                <w:szCs w:val="21"/>
              </w:rPr>
            </w:pPr>
            <w:r>
              <w:rPr>
                <w:rFonts w:ascii="Arial" w:hAnsi="Arial" w:cs="Arial"/>
                <w:color w:val="000000"/>
                <w:kern w:val="0"/>
                <w:szCs w:val="21"/>
              </w:rPr>
              <w:t>19</w:t>
            </w:r>
          </w:p>
        </w:tc>
        <w:tc>
          <w:tcPr>
            <w:tcW w:w="2050" w:type="dxa"/>
            <w:tcBorders>
              <w:top w:val="single" w:color="auto" w:sz="4" w:space="0"/>
              <w:left w:val="single" w:color="auto" w:sz="4" w:space="0"/>
              <w:bottom w:val="single" w:color="auto" w:sz="4" w:space="0"/>
              <w:right w:val="single" w:color="auto" w:sz="4" w:space="0"/>
            </w:tcBorders>
            <w:vAlign w:val="center"/>
          </w:tcPr>
          <w:p>
            <w:pPr>
              <w:widowControl/>
              <w:suppressAutoHyphens/>
              <w:jc w:val="center"/>
              <w:rPr>
                <w:rFonts w:ascii="Arial" w:hAnsi="Arial" w:cs="Arial"/>
                <w:kern w:val="0"/>
                <w:szCs w:val="21"/>
              </w:rPr>
            </w:pPr>
            <w:r>
              <w:rPr>
                <w:rFonts w:ascii="Arial" w:hAnsi="Arial" w:cs="Arial"/>
                <w:kern w:val="0"/>
                <w:szCs w:val="21"/>
              </w:rPr>
              <w:t>系统运行监控</w:t>
            </w:r>
          </w:p>
        </w:tc>
        <w:tc>
          <w:tcPr>
            <w:tcW w:w="5463" w:type="dxa"/>
            <w:tcBorders>
              <w:top w:val="single" w:color="auto" w:sz="4" w:space="0"/>
              <w:left w:val="single" w:color="auto" w:sz="4" w:space="0"/>
              <w:bottom w:val="single" w:color="auto" w:sz="4" w:space="0"/>
              <w:right w:val="single" w:color="auto" w:sz="4" w:space="0"/>
            </w:tcBorders>
            <w:vAlign w:val="center"/>
          </w:tcPr>
          <w:p>
            <w:pPr>
              <w:widowControl/>
              <w:suppressAutoHyphens/>
              <w:jc w:val="left"/>
              <w:rPr>
                <w:rFonts w:ascii="Arial" w:hAnsi="Arial" w:cs="Arial"/>
                <w:color w:val="000000"/>
                <w:kern w:val="0"/>
                <w:szCs w:val="21"/>
              </w:rPr>
            </w:pPr>
            <w:r>
              <w:rPr>
                <w:rFonts w:ascii="Arial" w:hAnsi="Arial" w:cs="Arial"/>
                <w:color w:val="000000"/>
                <w:kern w:val="0"/>
                <w:szCs w:val="21"/>
              </w:rPr>
              <w:t>系统运行监控</w:t>
            </w:r>
          </w:p>
        </w:tc>
      </w:tr>
    </w:tbl>
    <w:p>
      <w:pPr>
        <w:numPr>
          <w:ilvl w:val="0"/>
          <w:numId w:val="4"/>
        </w:numPr>
        <w:suppressAutoHyphens/>
        <w:spacing w:line="360" w:lineRule="auto"/>
        <w:rPr>
          <w:rFonts w:ascii="Arial" w:hAnsi="Arial" w:cs="Arial"/>
          <w:color w:val="000000"/>
          <w:sz w:val="24"/>
        </w:rPr>
      </w:pPr>
      <w:r>
        <w:rPr>
          <w:rFonts w:ascii="Arial" w:hAnsi="Arial" w:cs="Arial"/>
          <w:color w:val="000000"/>
          <w:sz w:val="24"/>
        </w:rPr>
        <w:t>金三税银子系统建设内容</w:t>
      </w:r>
    </w:p>
    <w:tbl>
      <w:tblPr>
        <w:tblStyle w:val="3"/>
        <w:tblW w:w="839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9"/>
        <w:gridCol w:w="1673"/>
        <w:gridCol w:w="58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D9D9D9"/>
            <w:vAlign w:val="center"/>
          </w:tcPr>
          <w:p>
            <w:pPr>
              <w:widowControl/>
              <w:suppressAutoHyphens/>
              <w:jc w:val="center"/>
              <w:rPr>
                <w:rFonts w:ascii="Arial" w:hAnsi="Arial" w:cs="Arial"/>
                <w:b/>
                <w:color w:val="000000"/>
                <w:kern w:val="0"/>
                <w:szCs w:val="21"/>
              </w:rPr>
            </w:pPr>
            <w:r>
              <w:rPr>
                <w:rFonts w:ascii="Arial" w:hAnsi="Arial" w:cs="Arial"/>
                <w:b/>
                <w:color w:val="000000"/>
                <w:kern w:val="0"/>
                <w:szCs w:val="21"/>
              </w:rPr>
              <w:t>序号</w:t>
            </w:r>
          </w:p>
        </w:tc>
        <w:tc>
          <w:tcPr>
            <w:tcW w:w="1673" w:type="dxa"/>
            <w:tcBorders>
              <w:top w:val="single" w:color="auto" w:sz="4" w:space="0"/>
              <w:left w:val="single" w:color="auto" w:sz="4" w:space="0"/>
              <w:bottom w:val="single" w:color="auto" w:sz="4" w:space="0"/>
              <w:right w:val="single" w:color="auto" w:sz="4" w:space="0"/>
            </w:tcBorders>
            <w:shd w:val="clear" w:color="auto" w:fill="D9D9D9"/>
            <w:vAlign w:val="center"/>
          </w:tcPr>
          <w:p>
            <w:pPr>
              <w:widowControl/>
              <w:suppressAutoHyphens/>
              <w:jc w:val="center"/>
              <w:rPr>
                <w:rFonts w:ascii="Arial" w:hAnsi="Arial" w:cs="Arial"/>
                <w:b/>
                <w:color w:val="000000"/>
                <w:kern w:val="0"/>
                <w:szCs w:val="21"/>
              </w:rPr>
            </w:pPr>
            <w:r>
              <w:rPr>
                <w:rFonts w:ascii="Arial" w:hAnsi="Arial" w:cs="Arial"/>
                <w:b/>
                <w:color w:val="000000"/>
                <w:kern w:val="0"/>
                <w:szCs w:val="21"/>
              </w:rPr>
              <w:t>项目阶段</w:t>
            </w:r>
          </w:p>
        </w:tc>
        <w:tc>
          <w:tcPr>
            <w:tcW w:w="5840" w:type="dxa"/>
            <w:tcBorders>
              <w:top w:val="single" w:color="auto" w:sz="4" w:space="0"/>
              <w:left w:val="single" w:color="auto" w:sz="4" w:space="0"/>
              <w:bottom w:val="single" w:color="auto" w:sz="4" w:space="0"/>
              <w:right w:val="single" w:color="auto" w:sz="4" w:space="0"/>
            </w:tcBorders>
            <w:shd w:val="clear" w:color="auto" w:fill="D9D9D9"/>
            <w:vAlign w:val="center"/>
          </w:tcPr>
          <w:p>
            <w:pPr>
              <w:widowControl/>
              <w:suppressAutoHyphens/>
              <w:jc w:val="center"/>
              <w:rPr>
                <w:rFonts w:ascii="Arial" w:hAnsi="Arial" w:cs="Arial"/>
                <w:b/>
                <w:color w:val="000000"/>
                <w:kern w:val="0"/>
                <w:szCs w:val="21"/>
              </w:rPr>
            </w:pPr>
            <w:r>
              <w:rPr>
                <w:rFonts w:ascii="Arial" w:hAnsi="Arial" w:cs="Arial"/>
                <w:b/>
                <w:color w:val="000000"/>
                <w:kern w:val="0"/>
                <w:szCs w:val="21"/>
              </w:rPr>
              <w:t>工作内容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879" w:type="dxa"/>
            <w:tcBorders>
              <w:top w:val="single" w:color="auto" w:sz="4" w:space="0"/>
              <w:left w:val="single" w:color="auto" w:sz="4" w:space="0"/>
              <w:bottom w:val="single" w:color="auto" w:sz="4" w:space="0"/>
              <w:right w:val="single" w:color="auto" w:sz="4" w:space="0"/>
            </w:tcBorders>
            <w:vAlign w:val="center"/>
          </w:tcPr>
          <w:p>
            <w:pPr>
              <w:widowControl/>
              <w:suppressAutoHyphens/>
              <w:jc w:val="center"/>
              <w:rPr>
                <w:rFonts w:ascii="Arial" w:hAnsi="Arial" w:cs="Arial"/>
                <w:color w:val="000000"/>
                <w:kern w:val="0"/>
                <w:szCs w:val="21"/>
              </w:rPr>
            </w:pPr>
            <w:r>
              <w:rPr>
                <w:rFonts w:ascii="Arial" w:hAnsi="Arial" w:cs="Arial"/>
                <w:color w:val="000000"/>
                <w:kern w:val="0"/>
                <w:szCs w:val="21"/>
              </w:rPr>
              <w:t>1</w:t>
            </w:r>
          </w:p>
        </w:tc>
        <w:tc>
          <w:tcPr>
            <w:tcW w:w="1673" w:type="dxa"/>
            <w:vMerge w:val="restart"/>
            <w:tcBorders>
              <w:top w:val="single" w:color="auto" w:sz="4" w:space="0"/>
              <w:left w:val="single" w:color="auto" w:sz="4" w:space="0"/>
              <w:bottom w:val="single" w:color="auto" w:sz="4" w:space="0"/>
              <w:right w:val="single" w:color="auto" w:sz="4" w:space="0"/>
            </w:tcBorders>
            <w:vAlign w:val="center"/>
          </w:tcPr>
          <w:p>
            <w:pPr>
              <w:widowControl/>
              <w:suppressAutoHyphens/>
              <w:jc w:val="center"/>
              <w:rPr>
                <w:rFonts w:ascii="Arial" w:hAnsi="Arial" w:cs="Arial"/>
                <w:kern w:val="0"/>
                <w:szCs w:val="21"/>
              </w:rPr>
            </w:pPr>
            <w:r>
              <w:rPr>
                <w:rFonts w:ascii="Arial" w:hAnsi="Arial" w:cs="Arial"/>
                <w:kern w:val="0"/>
                <w:szCs w:val="21"/>
              </w:rPr>
              <w:t>系统部署与联调测试</w:t>
            </w:r>
          </w:p>
        </w:tc>
        <w:tc>
          <w:tcPr>
            <w:tcW w:w="5840" w:type="dxa"/>
            <w:tcBorders>
              <w:top w:val="single" w:color="auto" w:sz="4" w:space="0"/>
              <w:left w:val="single" w:color="auto" w:sz="4" w:space="0"/>
              <w:bottom w:val="single" w:color="auto" w:sz="4" w:space="0"/>
              <w:right w:val="single" w:color="auto" w:sz="4" w:space="0"/>
            </w:tcBorders>
            <w:vAlign w:val="center"/>
          </w:tcPr>
          <w:p>
            <w:pPr>
              <w:widowControl/>
              <w:suppressAutoHyphens/>
              <w:jc w:val="left"/>
              <w:rPr>
                <w:rFonts w:ascii="Arial" w:hAnsi="Arial" w:cs="Arial"/>
                <w:kern w:val="0"/>
                <w:szCs w:val="21"/>
              </w:rPr>
            </w:pPr>
            <w:r>
              <w:rPr>
                <w:rFonts w:ascii="Arial" w:hAnsi="Arial" w:cs="Arial"/>
                <w:kern w:val="0"/>
                <w:szCs w:val="21"/>
              </w:rPr>
              <w:t>组织完成税银系统的部署工作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879" w:type="dxa"/>
            <w:tcBorders>
              <w:top w:val="single" w:color="auto" w:sz="4" w:space="0"/>
              <w:left w:val="single" w:color="auto" w:sz="4" w:space="0"/>
              <w:bottom w:val="single" w:color="auto" w:sz="4" w:space="0"/>
              <w:right w:val="single" w:color="auto" w:sz="4" w:space="0"/>
            </w:tcBorders>
            <w:vAlign w:val="center"/>
          </w:tcPr>
          <w:p>
            <w:pPr>
              <w:widowControl/>
              <w:suppressAutoHyphens/>
              <w:jc w:val="center"/>
              <w:rPr>
                <w:rFonts w:ascii="Arial" w:hAnsi="Arial" w:cs="Arial"/>
                <w:color w:val="000000"/>
                <w:kern w:val="0"/>
                <w:szCs w:val="21"/>
              </w:rPr>
            </w:pPr>
            <w:r>
              <w:rPr>
                <w:rFonts w:ascii="Arial" w:hAnsi="Arial" w:cs="Arial"/>
                <w:color w:val="000000"/>
                <w:kern w:val="0"/>
                <w:szCs w:val="21"/>
              </w:rPr>
              <w:t>2</w:t>
            </w:r>
          </w:p>
        </w:tc>
        <w:tc>
          <w:tcPr>
            <w:tcW w:w="0" w:type="auto"/>
            <w:vMerge w:val="continue"/>
            <w:tcBorders>
              <w:top w:val="single" w:color="auto" w:sz="4" w:space="0"/>
              <w:left w:val="single" w:color="auto" w:sz="4" w:space="0"/>
              <w:bottom w:val="single" w:color="auto" w:sz="4" w:space="0"/>
              <w:right w:val="single" w:color="auto" w:sz="4" w:space="0"/>
            </w:tcBorders>
            <w:vAlign w:val="center"/>
          </w:tcPr>
          <w:p>
            <w:pPr>
              <w:widowControl/>
              <w:suppressAutoHyphens/>
              <w:jc w:val="left"/>
              <w:rPr>
                <w:rFonts w:ascii="Arial" w:hAnsi="Arial" w:cs="Arial"/>
                <w:kern w:val="0"/>
                <w:szCs w:val="21"/>
              </w:rPr>
            </w:pPr>
          </w:p>
        </w:tc>
        <w:tc>
          <w:tcPr>
            <w:tcW w:w="5840" w:type="dxa"/>
            <w:tcBorders>
              <w:top w:val="single" w:color="auto" w:sz="4" w:space="0"/>
              <w:left w:val="single" w:color="auto" w:sz="4" w:space="0"/>
              <w:bottom w:val="single" w:color="auto" w:sz="4" w:space="0"/>
              <w:right w:val="single" w:color="auto" w:sz="4" w:space="0"/>
            </w:tcBorders>
            <w:vAlign w:val="center"/>
          </w:tcPr>
          <w:p>
            <w:pPr>
              <w:widowControl/>
              <w:suppressAutoHyphens/>
              <w:jc w:val="left"/>
              <w:rPr>
                <w:rFonts w:ascii="Arial" w:hAnsi="Arial" w:cs="Arial"/>
                <w:kern w:val="0"/>
                <w:szCs w:val="21"/>
              </w:rPr>
            </w:pPr>
            <w:r>
              <w:rPr>
                <w:rFonts w:ascii="Arial" w:hAnsi="Arial" w:cs="Arial"/>
                <w:kern w:val="0"/>
                <w:szCs w:val="21"/>
              </w:rPr>
              <w:t>组织完成上线单位社保费征管业务信息化各子系统的联调测试工作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879" w:type="dxa"/>
            <w:tcBorders>
              <w:top w:val="single" w:color="auto" w:sz="4" w:space="0"/>
              <w:left w:val="single" w:color="auto" w:sz="4" w:space="0"/>
              <w:bottom w:val="single" w:color="auto" w:sz="4" w:space="0"/>
              <w:right w:val="single" w:color="auto" w:sz="4" w:space="0"/>
            </w:tcBorders>
            <w:vAlign w:val="center"/>
          </w:tcPr>
          <w:p>
            <w:pPr>
              <w:widowControl/>
              <w:suppressAutoHyphens/>
              <w:jc w:val="center"/>
              <w:rPr>
                <w:rFonts w:ascii="Arial" w:hAnsi="Arial" w:cs="Arial"/>
                <w:color w:val="000000"/>
                <w:kern w:val="0"/>
                <w:szCs w:val="21"/>
              </w:rPr>
            </w:pPr>
            <w:r>
              <w:rPr>
                <w:rFonts w:ascii="Arial" w:hAnsi="Arial" w:cs="Arial"/>
                <w:color w:val="000000"/>
                <w:kern w:val="0"/>
                <w:szCs w:val="21"/>
              </w:rPr>
              <w:t>3</w:t>
            </w:r>
          </w:p>
        </w:tc>
        <w:tc>
          <w:tcPr>
            <w:tcW w:w="1673" w:type="dxa"/>
            <w:vMerge w:val="restart"/>
            <w:tcBorders>
              <w:top w:val="single" w:color="auto" w:sz="4" w:space="0"/>
              <w:left w:val="single" w:color="auto" w:sz="4" w:space="0"/>
              <w:bottom w:val="single" w:color="auto" w:sz="4" w:space="0"/>
              <w:right w:val="single" w:color="auto" w:sz="4" w:space="0"/>
            </w:tcBorders>
            <w:vAlign w:val="center"/>
          </w:tcPr>
          <w:p>
            <w:pPr>
              <w:widowControl/>
              <w:suppressAutoHyphens/>
              <w:jc w:val="center"/>
              <w:rPr>
                <w:rFonts w:ascii="Arial" w:hAnsi="Arial" w:cs="Arial"/>
                <w:kern w:val="0"/>
                <w:szCs w:val="21"/>
              </w:rPr>
            </w:pPr>
            <w:r>
              <w:rPr>
                <w:rFonts w:ascii="Arial" w:hAnsi="Arial" w:cs="Arial"/>
                <w:kern w:val="0"/>
                <w:szCs w:val="21"/>
              </w:rPr>
              <w:t>系统初始化</w:t>
            </w:r>
          </w:p>
        </w:tc>
        <w:tc>
          <w:tcPr>
            <w:tcW w:w="5840" w:type="dxa"/>
            <w:tcBorders>
              <w:top w:val="single" w:color="auto" w:sz="4" w:space="0"/>
              <w:left w:val="single" w:color="auto" w:sz="4" w:space="0"/>
              <w:bottom w:val="single" w:color="auto" w:sz="4" w:space="0"/>
              <w:right w:val="single" w:color="auto" w:sz="4" w:space="0"/>
            </w:tcBorders>
            <w:vAlign w:val="center"/>
          </w:tcPr>
          <w:p>
            <w:pPr>
              <w:widowControl/>
              <w:suppressAutoHyphens/>
              <w:jc w:val="left"/>
              <w:rPr>
                <w:rFonts w:ascii="Arial" w:hAnsi="Arial" w:cs="Arial"/>
                <w:kern w:val="0"/>
                <w:szCs w:val="21"/>
              </w:rPr>
            </w:pPr>
            <w:r>
              <w:rPr>
                <w:rFonts w:ascii="Arial" w:hAnsi="Arial" w:cs="Arial"/>
                <w:kern w:val="0"/>
                <w:szCs w:val="21"/>
              </w:rPr>
              <w:t>组织完成本省税银系统针对社保预算科目及预算分配比例的初始化工作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879" w:type="dxa"/>
            <w:tcBorders>
              <w:top w:val="single" w:color="auto" w:sz="4" w:space="0"/>
              <w:left w:val="single" w:color="auto" w:sz="4" w:space="0"/>
              <w:bottom w:val="single" w:color="auto" w:sz="4" w:space="0"/>
              <w:right w:val="single" w:color="auto" w:sz="4" w:space="0"/>
            </w:tcBorders>
            <w:vAlign w:val="center"/>
          </w:tcPr>
          <w:p>
            <w:pPr>
              <w:widowControl/>
              <w:suppressAutoHyphens/>
              <w:jc w:val="center"/>
              <w:rPr>
                <w:rFonts w:ascii="Arial" w:hAnsi="Arial" w:cs="Arial"/>
                <w:color w:val="000000"/>
                <w:kern w:val="0"/>
                <w:szCs w:val="21"/>
              </w:rPr>
            </w:pPr>
            <w:r>
              <w:rPr>
                <w:rFonts w:ascii="Arial" w:hAnsi="Arial" w:cs="Arial"/>
                <w:color w:val="000000"/>
                <w:kern w:val="0"/>
                <w:szCs w:val="21"/>
              </w:rPr>
              <w:t>4</w:t>
            </w:r>
          </w:p>
        </w:tc>
        <w:tc>
          <w:tcPr>
            <w:tcW w:w="0" w:type="auto"/>
            <w:vMerge w:val="continue"/>
            <w:tcBorders>
              <w:top w:val="single" w:color="auto" w:sz="4" w:space="0"/>
              <w:left w:val="single" w:color="auto" w:sz="4" w:space="0"/>
              <w:bottom w:val="single" w:color="auto" w:sz="4" w:space="0"/>
              <w:right w:val="single" w:color="auto" w:sz="4" w:space="0"/>
            </w:tcBorders>
            <w:vAlign w:val="center"/>
          </w:tcPr>
          <w:p>
            <w:pPr>
              <w:widowControl/>
              <w:suppressAutoHyphens/>
              <w:jc w:val="left"/>
              <w:rPr>
                <w:rFonts w:ascii="Arial" w:hAnsi="Arial" w:cs="Arial"/>
                <w:kern w:val="0"/>
                <w:szCs w:val="21"/>
              </w:rPr>
            </w:pPr>
          </w:p>
        </w:tc>
        <w:tc>
          <w:tcPr>
            <w:tcW w:w="5840" w:type="dxa"/>
            <w:tcBorders>
              <w:top w:val="single" w:color="auto" w:sz="4" w:space="0"/>
              <w:left w:val="single" w:color="auto" w:sz="4" w:space="0"/>
              <w:bottom w:val="single" w:color="auto" w:sz="4" w:space="0"/>
              <w:right w:val="single" w:color="auto" w:sz="4" w:space="0"/>
            </w:tcBorders>
            <w:vAlign w:val="center"/>
          </w:tcPr>
          <w:p>
            <w:pPr>
              <w:widowControl/>
              <w:suppressAutoHyphens/>
              <w:jc w:val="left"/>
              <w:rPr>
                <w:rFonts w:ascii="Arial" w:hAnsi="Arial" w:cs="Arial"/>
                <w:kern w:val="0"/>
                <w:szCs w:val="21"/>
              </w:rPr>
            </w:pPr>
            <w:r>
              <w:rPr>
                <w:rFonts w:ascii="Arial" w:hAnsi="Arial" w:cs="Arial"/>
                <w:kern w:val="0"/>
                <w:szCs w:val="21"/>
              </w:rPr>
              <w:t>各省协调国库完成社保费预算科目及预算分配比例的基础参数维护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879" w:type="dxa"/>
            <w:tcBorders>
              <w:top w:val="single" w:color="auto" w:sz="4" w:space="0"/>
              <w:left w:val="single" w:color="auto" w:sz="4" w:space="0"/>
              <w:bottom w:val="single" w:color="auto" w:sz="4" w:space="0"/>
              <w:right w:val="single" w:color="auto" w:sz="4" w:space="0"/>
            </w:tcBorders>
            <w:vAlign w:val="center"/>
          </w:tcPr>
          <w:p>
            <w:pPr>
              <w:widowControl/>
              <w:suppressAutoHyphens/>
              <w:jc w:val="center"/>
              <w:rPr>
                <w:rFonts w:ascii="Arial" w:hAnsi="Arial" w:cs="Arial"/>
                <w:color w:val="000000"/>
                <w:kern w:val="0"/>
                <w:szCs w:val="21"/>
              </w:rPr>
            </w:pPr>
            <w:r>
              <w:rPr>
                <w:rFonts w:ascii="Arial" w:hAnsi="Arial" w:cs="Arial"/>
                <w:color w:val="000000"/>
                <w:kern w:val="0"/>
                <w:szCs w:val="21"/>
              </w:rPr>
              <w:t>5</w:t>
            </w:r>
          </w:p>
        </w:tc>
        <w:tc>
          <w:tcPr>
            <w:tcW w:w="1673" w:type="dxa"/>
            <w:tcBorders>
              <w:top w:val="single" w:color="auto" w:sz="4" w:space="0"/>
              <w:left w:val="single" w:color="auto" w:sz="4" w:space="0"/>
              <w:bottom w:val="single" w:color="auto" w:sz="4" w:space="0"/>
              <w:right w:val="single" w:color="auto" w:sz="4" w:space="0"/>
            </w:tcBorders>
            <w:vAlign w:val="center"/>
          </w:tcPr>
          <w:p>
            <w:pPr>
              <w:widowControl/>
              <w:suppressAutoHyphens/>
              <w:jc w:val="center"/>
              <w:rPr>
                <w:rFonts w:ascii="Arial" w:hAnsi="Arial" w:cs="Arial"/>
                <w:kern w:val="0"/>
                <w:szCs w:val="21"/>
              </w:rPr>
            </w:pPr>
            <w:r>
              <w:rPr>
                <w:rFonts w:ascii="Arial" w:hAnsi="Arial" w:cs="Arial"/>
                <w:kern w:val="0"/>
                <w:szCs w:val="21"/>
              </w:rPr>
              <w:t>全流程测试</w:t>
            </w:r>
          </w:p>
        </w:tc>
        <w:tc>
          <w:tcPr>
            <w:tcW w:w="5840" w:type="dxa"/>
            <w:tcBorders>
              <w:top w:val="single" w:color="auto" w:sz="4" w:space="0"/>
              <w:left w:val="single" w:color="auto" w:sz="4" w:space="0"/>
              <w:bottom w:val="single" w:color="auto" w:sz="4" w:space="0"/>
              <w:right w:val="single" w:color="auto" w:sz="4" w:space="0"/>
            </w:tcBorders>
            <w:vAlign w:val="center"/>
          </w:tcPr>
          <w:p>
            <w:pPr>
              <w:widowControl/>
              <w:suppressAutoHyphens/>
              <w:jc w:val="left"/>
              <w:rPr>
                <w:rFonts w:ascii="Arial" w:hAnsi="Arial" w:cs="Arial"/>
                <w:kern w:val="0"/>
                <w:szCs w:val="21"/>
              </w:rPr>
            </w:pPr>
            <w:r>
              <w:rPr>
                <w:rFonts w:ascii="Arial" w:hAnsi="Arial" w:cs="Arial"/>
                <w:kern w:val="0"/>
                <w:szCs w:val="21"/>
              </w:rPr>
              <w:t>会同本省人社部门，组织开展金三社保费子系统、单位申报客户端、金三核心征管系统、金三决策一包系统、税银、信息共享平台（税务端+人社端）的全业务全流程联调测试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 w:hRule="atLeast"/>
          <w:jc w:val="center"/>
        </w:trPr>
        <w:tc>
          <w:tcPr>
            <w:tcW w:w="879" w:type="dxa"/>
            <w:tcBorders>
              <w:top w:val="single" w:color="auto" w:sz="4" w:space="0"/>
              <w:left w:val="single" w:color="auto" w:sz="4" w:space="0"/>
              <w:bottom w:val="single" w:color="auto" w:sz="4" w:space="0"/>
              <w:right w:val="single" w:color="auto" w:sz="4" w:space="0"/>
            </w:tcBorders>
            <w:vAlign w:val="center"/>
          </w:tcPr>
          <w:p>
            <w:pPr>
              <w:widowControl/>
              <w:suppressAutoHyphens/>
              <w:jc w:val="center"/>
              <w:rPr>
                <w:rFonts w:ascii="Arial" w:hAnsi="Arial" w:cs="Arial"/>
                <w:color w:val="000000"/>
                <w:kern w:val="0"/>
                <w:szCs w:val="21"/>
              </w:rPr>
            </w:pPr>
            <w:r>
              <w:rPr>
                <w:rFonts w:ascii="Arial" w:hAnsi="Arial" w:cs="Arial"/>
                <w:color w:val="000000"/>
                <w:kern w:val="0"/>
                <w:szCs w:val="21"/>
              </w:rPr>
              <w:t>6</w:t>
            </w:r>
          </w:p>
        </w:tc>
        <w:tc>
          <w:tcPr>
            <w:tcW w:w="1673" w:type="dxa"/>
            <w:tcBorders>
              <w:top w:val="single" w:color="auto" w:sz="4" w:space="0"/>
              <w:left w:val="single" w:color="auto" w:sz="4" w:space="0"/>
              <w:bottom w:val="single" w:color="auto" w:sz="4" w:space="0"/>
              <w:right w:val="single" w:color="auto" w:sz="4" w:space="0"/>
            </w:tcBorders>
            <w:vAlign w:val="center"/>
          </w:tcPr>
          <w:p>
            <w:pPr>
              <w:widowControl/>
              <w:suppressAutoHyphens/>
              <w:jc w:val="center"/>
              <w:rPr>
                <w:rFonts w:ascii="Arial" w:hAnsi="Arial" w:cs="Arial"/>
                <w:kern w:val="0"/>
                <w:szCs w:val="21"/>
              </w:rPr>
            </w:pPr>
            <w:r>
              <w:rPr>
                <w:rFonts w:ascii="Arial" w:hAnsi="Arial" w:cs="Arial"/>
                <w:kern w:val="0"/>
                <w:szCs w:val="21"/>
              </w:rPr>
              <w:t>压力测试</w:t>
            </w:r>
          </w:p>
        </w:tc>
        <w:tc>
          <w:tcPr>
            <w:tcW w:w="5840" w:type="dxa"/>
            <w:tcBorders>
              <w:top w:val="single" w:color="auto" w:sz="4" w:space="0"/>
              <w:left w:val="single" w:color="auto" w:sz="4" w:space="0"/>
              <w:bottom w:val="single" w:color="auto" w:sz="4" w:space="0"/>
              <w:right w:val="single" w:color="auto" w:sz="4" w:space="0"/>
            </w:tcBorders>
            <w:vAlign w:val="center"/>
          </w:tcPr>
          <w:p>
            <w:pPr>
              <w:widowControl/>
              <w:suppressAutoHyphens/>
              <w:jc w:val="left"/>
              <w:rPr>
                <w:rFonts w:ascii="Arial" w:hAnsi="Arial" w:cs="Arial"/>
                <w:color w:val="000000"/>
                <w:kern w:val="0"/>
                <w:szCs w:val="21"/>
              </w:rPr>
            </w:pPr>
            <w:r>
              <w:rPr>
                <w:rFonts w:ascii="Arial" w:hAnsi="Arial" w:cs="Arial"/>
                <w:color w:val="000000"/>
                <w:kern w:val="0"/>
                <w:szCs w:val="21"/>
              </w:rPr>
              <w:t>组织完成性能测试工具部署，测试数据准备工作，完成社保费征管业务信息化各子系统性能测试工作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879" w:type="dxa"/>
            <w:tcBorders>
              <w:top w:val="single" w:color="auto" w:sz="4" w:space="0"/>
              <w:left w:val="single" w:color="auto" w:sz="4" w:space="0"/>
              <w:bottom w:val="single" w:color="auto" w:sz="4" w:space="0"/>
              <w:right w:val="single" w:color="auto" w:sz="4" w:space="0"/>
            </w:tcBorders>
            <w:vAlign w:val="center"/>
          </w:tcPr>
          <w:p>
            <w:pPr>
              <w:widowControl/>
              <w:suppressAutoHyphens/>
              <w:jc w:val="center"/>
              <w:rPr>
                <w:rFonts w:ascii="Arial" w:hAnsi="Arial" w:cs="Arial"/>
                <w:color w:val="000000"/>
                <w:kern w:val="0"/>
                <w:szCs w:val="21"/>
              </w:rPr>
            </w:pPr>
            <w:r>
              <w:rPr>
                <w:rFonts w:ascii="Arial" w:hAnsi="Arial" w:cs="Arial"/>
                <w:color w:val="000000"/>
                <w:kern w:val="0"/>
                <w:szCs w:val="21"/>
              </w:rPr>
              <w:t>7</w:t>
            </w:r>
          </w:p>
        </w:tc>
        <w:tc>
          <w:tcPr>
            <w:tcW w:w="1673" w:type="dxa"/>
            <w:vMerge w:val="restart"/>
            <w:tcBorders>
              <w:top w:val="single" w:color="auto" w:sz="4" w:space="0"/>
              <w:left w:val="single" w:color="auto" w:sz="4" w:space="0"/>
              <w:bottom w:val="single" w:color="auto" w:sz="4" w:space="0"/>
              <w:right w:val="single" w:color="auto" w:sz="4" w:space="0"/>
            </w:tcBorders>
            <w:vAlign w:val="center"/>
          </w:tcPr>
          <w:p>
            <w:pPr>
              <w:widowControl/>
              <w:suppressAutoHyphens/>
              <w:jc w:val="center"/>
              <w:rPr>
                <w:rFonts w:ascii="Arial" w:hAnsi="Arial" w:cs="Arial"/>
                <w:kern w:val="0"/>
                <w:szCs w:val="21"/>
              </w:rPr>
            </w:pPr>
            <w:r>
              <w:rPr>
                <w:rFonts w:ascii="Arial" w:hAnsi="Arial" w:cs="Arial"/>
                <w:kern w:val="0"/>
                <w:szCs w:val="21"/>
              </w:rPr>
              <w:t>上线准备</w:t>
            </w:r>
          </w:p>
        </w:tc>
        <w:tc>
          <w:tcPr>
            <w:tcW w:w="5840" w:type="dxa"/>
            <w:tcBorders>
              <w:top w:val="single" w:color="auto" w:sz="4" w:space="0"/>
              <w:left w:val="single" w:color="auto" w:sz="4" w:space="0"/>
              <w:bottom w:val="single" w:color="auto" w:sz="4" w:space="0"/>
              <w:right w:val="single" w:color="auto" w:sz="4" w:space="0"/>
            </w:tcBorders>
            <w:vAlign w:val="center"/>
          </w:tcPr>
          <w:p>
            <w:pPr>
              <w:widowControl/>
              <w:suppressAutoHyphens/>
              <w:jc w:val="left"/>
              <w:rPr>
                <w:rFonts w:ascii="Arial" w:hAnsi="Arial" w:cs="Arial"/>
                <w:color w:val="000000"/>
                <w:kern w:val="0"/>
                <w:szCs w:val="21"/>
              </w:rPr>
            </w:pPr>
            <w:r>
              <w:rPr>
                <w:rFonts w:ascii="Arial" w:hAnsi="Arial" w:cs="Arial"/>
                <w:color w:val="000000"/>
                <w:kern w:val="0"/>
                <w:szCs w:val="21"/>
              </w:rPr>
              <w:t>组织完成本省生产环境数据清理工作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879" w:type="dxa"/>
            <w:tcBorders>
              <w:top w:val="single" w:color="auto" w:sz="4" w:space="0"/>
              <w:left w:val="single" w:color="auto" w:sz="4" w:space="0"/>
              <w:bottom w:val="single" w:color="auto" w:sz="4" w:space="0"/>
              <w:right w:val="single" w:color="auto" w:sz="4" w:space="0"/>
            </w:tcBorders>
            <w:vAlign w:val="center"/>
          </w:tcPr>
          <w:p>
            <w:pPr>
              <w:widowControl/>
              <w:suppressAutoHyphens/>
              <w:jc w:val="center"/>
              <w:rPr>
                <w:rFonts w:ascii="Arial" w:hAnsi="Arial" w:cs="Arial"/>
                <w:color w:val="000000"/>
                <w:kern w:val="0"/>
                <w:szCs w:val="21"/>
              </w:rPr>
            </w:pPr>
            <w:r>
              <w:rPr>
                <w:rFonts w:ascii="Arial" w:hAnsi="Arial" w:cs="Arial"/>
                <w:color w:val="000000"/>
                <w:kern w:val="0"/>
                <w:szCs w:val="21"/>
              </w:rPr>
              <w:t>8</w:t>
            </w:r>
          </w:p>
        </w:tc>
        <w:tc>
          <w:tcPr>
            <w:tcW w:w="0" w:type="auto"/>
            <w:vMerge w:val="continue"/>
            <w:tcBorders>
              <w:top w:val="single" w:color="auto" w:sz="4" w:space="0"/>
              <w:left w:val="single" w:color="auto" w:sz="4" w:space="0"/>
              <w:bottom w:val="single" w:color="auto" w:sz="4" w:space="0"/>
              <w:right w:val="single" w:color="auto" w:sz="4" w:space="0"/>
            </w:tcBorders>
            <w:vAlign w:val="center"/>
          </w:tcPr>
          <w:p>
            <w:pPr>
              <w:widowControl/>
              <w:suppressAutoHyphens/>
              <w:jc w:val="left"/>
              <w:rPr>
                <w:rFonts w:ascii="Arial" w:hAnsi="Arial" w:cs="Arial"/>
                <w:kern w:val="0"/>
                <w:szCs w:val="21"/>
              </w:rPr>
            </w:pPr>
          </w:p>
        </w:tc>
        <w:tc>
          <w:tcPr>
            <w:tcW w:w="5840" w:type="dxa"/>
            <w:tcBorders>
              <w:top w:val="single" w:color="auto" w:sz="4" w:space="0"/>
              <w:left w:val="single" w:color="auto" w:sz="4" w:space="0"/>
              <w:bottom w:val="single" w:color="auto" w:sz="4" w:space="0"/>
              <w:right w:val="single" w:color="auto" w:sz="4" w:space="0"/>
            </w:tcBorders>
            <w:vAlign w:val="center"/>
          </w:tcPr>
          <w:p>
            <w:pPr>
              <w:widowControl/>
              <w:suppressAutoHyphens/>
              <w:jc w:val="left"/>
              <w:rPr>
                <w:rFonts w:ascii="Arial" w:hAnsi="Arial" w:cs="Arial"/>
                <w:kern w:val="0"/>
                <w:szCs w:val="21"/>
              </w:rPr>
            </w:pPr>
            <w:r>
              <w:rPr>
                <w:rFonts w:ascii="Arial" w:hAnsi="Arial" w:cs="Arial"/>
                <w:kern w:val="0"/>
                <w:szCs w:val="21"/>
              </w:rPr>
              <w:t>完成本省税银系统上线初始化内容检查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879" w:type="dxa"/>
            <w:tcBorders>
              <w:top w:val="single" w:color="auto" w:sz="4" w:space="0"/>
              <w:left w:val="single" w:color="auto" w:sz="4" w:space="0"/>
              <w:bottom w:val="single" w:color="auto" w:sz="4" w:space="0"/>
              <w:right w:val="single" w:color="auto" w:sz="4" w:space="0"/>
            </w:tcBorders>
            <w:vAlign w:val="center"/>
          </w:tcPr>
          <w:p>
            <w:pPr>
              <w:widowControl/>
              <w:suppressAutoHyphens/>
              <w:jc w:val="center"/>
              <w:rPr>
                <w:rFonts w:ascii="Arial" w:hAnsi="Arial" w:cs="Arial"/>
                <w:color w:val="000000"/>
                <w:kern w:val="0"/>
                <w:szCs w:val="21"/>
              </w:rPr>
            </w:pPr>
            <w:r>
              <w:rPr>
                <w:rFonts w:ascii="Arial" w:hAnsi="Arial" w:cs="Arial"/>
                <w:color w:val="000000"/>
                <w:kern w:val="0"/>
                <w:szCs w:val="21"/>
              </w:rPr>
              <w:t>9</w:t>
            </w:r>
          </w:p>
        </w:tc>
        <w:tc>
          <w:tcPr>
            <w:tcW w:w="1673" w:type="dxa"/>
            <w:tcBorders>
              <w:top w:val="single" w:color="auto" w:sz="4" w:space="0"/>
              <w:left w:val="single" w:color="auto" w:sz="4" w:space="0"/>
              <w:bottom w:val="single" w:color="auto" w:sz="4" w:space="0"/>
              <w:right w:val="single" w:color="auto" w:sz="4" w:space="0"/>
            </w:tcBorders>
            <w:vAlign w:val="center"/>
          </w:tcPr>
          <w:p>
            <w:pPr>
              <w:widowControl/>
              <w:suppressAutoHyphens/>
              <w:jc w:val="center"/>
              <w:rPr>
                <w:rFonts w:ascii="Arial" w:hAnsi="Arial" w:cs="Arial"/>
                <w:kern w:val="0"/>
                <w:szCs w:val="21"/>
              </w:rPr>
            </w:pPr>
            <w:r>
              <w:rPr>
                <w:rFonts w:ascii="Arial" w:hAnsi="Arial" w:cs="Arial"/>
                <w:kern w:val="0"/>
                <w:szCs w:val="21"/>
              </w:rPr>
              <w:t>正式上线</w:t>
            </w:r>
          </w:p>
        </w:tc>
        <w:tc>
          <w:tcPr>
            <w:tcW w:w="5840" w:type="dxa"/>
            <w:tcBorders>
              <w:top w:val="single" w:color="auto" w:sz="4" w:space="0"/>
              <w:left w:val="single" w:color="auto" w:sz="4" w:space="0"/>
              <w:bottom w:val="single" w:color="auto" w:sz="4" w:space="0"/>
              <w:right w:val="single" w:color="auto" w:sz="4" w:space="0"/>
            </w:tcBorders>
            <w:vAlign w:val="center"/>
          </w:tcPr>
          <w:p>
            <w:pPr>
              <w:widowControl/>
              <w:suppressAutoHyphens/>
              <w:jc w:val="left"/>
              <w:rPr>
                <w:rFonts w:ascii="Arial" w:hAnsi="Arial" w:cs="Arial"/>
                <w:kern w:val="0"/>
                <w:szCs w:val="21"/>
              </w:rPr>
            </w:pPr>
            <w:r>
              <w:rPr>
                <w:rFonts w:ascii="Arial" w:hAnsi="Arial" w:cs="Arial"/>
                <w:kern w:val="0"/>
                <w:szCs w:val="21"/>
              </w:rPr>
              <w:t>税银系统切换上线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879" w:type="dxa"/>
            <w:tcBorders>
              <w:top w:val="single" w:color="auto" w:sz="4" w:space="0"/>
              <w:left w:val="single" w:color="auto" w:sz="4" w:space="0"/>
              <w:bottom w:val="single" w:color="auto" w:sz="4" w:space="0"/>
              <w:right w:val="single" w:color="auto" w:sz="4" w:space="0"/>
            </w:tcBorders>
            <w:vAlign w:val="center"/>
          </w:tcPr>
          <w:p>
            <w:pPr>
              <w:widowControl/>
              <w:suppressAutoHyphens/>
              <w:jc w:val="center"/>
              <w:rPr>
                <w:rFonts w:ascii="Arial" w:hAnsi="Arial" w:cs="Arial"/>
                <w:color w:val="000000"/>
                <w:kern w:val="0"/>
                <w:szCs w:val="21"/>
              </w:rPr>
            </w:pPr>
            <w:r>
              <w:rPr>
                <w:rFonts w:ascii="Arial" w:hAnsi="Arial" w:cs="Arial"/>
                <w:color w:val="000000"/>
                <w:kern w:val="0"/>
                <w:szCs w:val="21"/>
              </w:rPr>
              <w:t>10</w:t>
            </w:r>
          </w:p>
        </w:tc>
        <w:tc>
          <w:tcPr>
            <w:tcW w:w="1673" w:type="dxa"/>
            <w:tcBorders>
              <w:top w:val="single" w:color="auto" w:sz="4" w:space="0"/>
              <w:left w:val="single" w:color="auto" w:sz="4" w:space="0"/>
              <w:bottom w:val="single" w:color="auto" w:sz="4" w:space="0"/>
              <w:right w:val="single" w:color="auto" w:sz="4" w:space="0"/>
            </w:tcBorders>
            <w:vAlign w:val="center"/>
          </w:tcPr>
          <w:p>
            <w:pPr>
              <w:widowControl/>
              <w:suppressAutoHyphens/>
              <w:jc w:val="center"/>
              <w:rPr>
                <w:rFonts w:ascii="Arial" w:hAnsi="Arial" w:cs="Arial"/>
                <w:kern w:val="0"/>
                <w:szCs w:val="21"/>
              </w:rPr>
            </w:pPr>
            <w:r>
              <w:rPr>
                <w:rFonts w:ascii="Arial" w:hAnsi="Arial" w:cs="Arial"/>
                <w:kern w:val="0"/>
                <w:szCs w:val="21"/>
              </w:rPr>
              <w:t>系统操作培训</w:t>
            </w:r>
          </w:p>
        </w:tc>
        <w:tc>
          <w:tcPr>
            <w:tcW w:w="5840" w:type="dxa"/>
            <w:tcBorders>
              <w:top w:val="single" w:color="auto" w:sz="4" w:space="0"/>
              <w:left w:val="single" w:color="auto" w:sz="4" w:space="0"/>
              <w:bottom w:val="single" w:color="auto" w:sz="4" w:space="0"/>
              <w:right w:val="single" w:color="auto" w:sz="4" w:space="0"/>
            </w:tcBorders>
            <w:vAlign w:val="center"/>
          </w:tcPr>
          <w:p>
            <w:pPr>
              <w:widowControl/>
              <w:suppressAutoHyphens/>
              <w:jc w:val="left"/>
              <w:rPr>
                <w:rFonts w:ascii="Arial" w:hAnsi="Arial" w:cs="Arial"/>
                <w:kern w:val="0"/>
                <w:szCs w:val="21"/>
              </w:rPr>
            </w:pPr>
            <w:r>
              <w:rPr>
                <w:rFonts w:ascii="Arial" w:hAnsi="Arial" w:cs="Arial"/>
                <w:kern w:val="0"/>
                <w:szCs w:val="21"/>
              </w:rPr>
              <w:t>系统操作培训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879" w:type="dxa"/>
            <w:tcBorders>
              <w:top w:val="single" w:color="auto" w:sz="4" w:space="0"/>
              <w:left w:val="single" w:color="auto" w:sz="4" w:space="0"/>
              <w:bottom w:val="single" w:color="auto" w:sz="4" w:space="0"/>
              <w:right w:val="single" w:color="auto" w:sz="4" w:space="0"/>
            </w:tcBorders>
            <w:vAlign w:val="center"/>
          </w:tcPr>
          <w:p>
            <w:pPr>
              <w:widowControl/>
              <w:suppressAutoHyphens/>
              <w:jc w:val="center"/>
              <w:rPr>
                <w:rFonts w:ascii="Arial" w:hAnsi="Arial" w:cs="Arial"/>
                <w:color w:val="000000"/>
                <w:kern w:val="0"/>
                <w:szCs w:val="21"/>
              </w:rPr>
            </w:pPr>
            <w:r>
              <w:rPr>
                <w:rFonts w:ascii="Arial" w:hAnsi="Arial" w:cs="Arial"/>
                <w:color w:val="000000"/>
                <w:kern w:val="0"/>
                <w:szCs w:val="21"/>
              </w:rPr>
              <w:t>11</w:t>
            </w:r>
          </w:p>
        </w:tc>
        <w:tc>
          <w:tcPr>
            <w:tcW w:w="1673" w:type="dxa"/>
            <w:tcBorders>
              <w:top w:val="single" w:color="auto" w:sz="4" w:space="0"/>
              <w:left w:val="single" w:color="auto" w:sz="4" w:space="0"/>
              <w:bottom w:val="single" w:color="auto" w:sz="4" w:space="0"/>
              <w:right w:val="single" w:color="auto" w:sz="4" w:space="0"/>
            </w:tcBorders>
            <w:vAlign w:val="center"/>
          </w:tcPr>
          <w:p>
            <w:pPr>
              <w:widowControl/>
              <w:suppressAutoHyphens/>
              <w:jc w:val="center"/>
              <w:rPr>
                <w:rFonts w:ascii="Arial" w:hAnsi="Arial" w:cs="Arial"/>
                <w:kern w:val="0"/>
                <w:szCs w:val="21"/>
              </w:rPr>
            </w:pPr>
            <w:r>
              <w:rPr>
                <w:rFonts w:ascii="Arial" w:hAnsi="Arial" w:cs="Arial"/>
                <w:kern w:val="0"/>
                <w:szCs w:val="21"/>
              </w:rPr>
              <w:t>系统运行监控</w:t>
            </w:r>
          </w:p>
        </w:tc>
        <w:tc>
          <w:tcPr>
            <w:tcW w:w="5840" w:type="dxa"/>
            <w:tcBorders>
              <w:top w:val="single" w:color="auto" w:sz="4" w:space="0"/>
              <w:left w:val="single" w:color="auto" w:sz="4" w:space="0"/>
              <w:bottom w:val="single" w:color="auto" w:sz="4" w:space="0"/>
              <w:right w:val="single" w:color="auto" w:sz="4" w:space="0"/>
            </w:tcBorders>
            <w:vAlign w:val="center"/>
          </w:tcPr>
          <w:p>
            <w:pPr>
              <w:widowControl/>
              <w:suppressAutoHyphens/>
              <w:jc w:val="left"/>
              <w:rPr>
                <w:rFonts w:ascii="Arial" w:hAnsi="Arial" w:cs="Arial"/>
                <w:kern w:val="0"/>
                <w:szCs w:val="21"/>
              </w:rPr>
            </w:pPr>
            <w:r>
              <w:rPr>
                <w:rFonts w:ascii="Arial" w:hAnsi="Arial" w:cs="Arial"/>
                <w:kern w:val="0"/>
                <w:szCs w:val="21"/>
              </w:rPr>
              <w:t>税银系统运行监控</w:t>
            </w:r>
          </w:p>
        </w:tc>
      </w:tr>
    </w:tbl>
    <w:p>
      <w:pPr>
        <w:numPr>
          <w:ilvl w:val="0"/>
          <w:numId w:val="3"/>
        </w:numPr>
        <w:suppressAutoHyphens/>
        <w:spacing w:line="360" w:lineRule="auto"/>
        <w:rPr>
          <w:rFonts w:ascii="Arial" w:hAnsi="Arial" w:cs="Arial"/>
          <w:color w:val="000000"/>
          <w:sz w:val="24"/>
        </w:rPr>
      </w:pPr>
      <w:r>
        <w:rPr>
          <w:rFonts w:ascii="Arial" w:hAnsi="Arial" w:cs="Arial"/>
          <w:color w:val="000000"/>
          <w:sz w:val="24"/>
        </w:rPr>
        <w:t>共享平台建设范围</w:t>
      </w:r>
    </w:p>
    <w:p>
      <w:pPr>
        <w:spacing w:line="360" w:lineRule="auto"/>
        <w:ind w:firstLine="480" w:firstLineChars="200"/>
        <w:rPr>
          <w:rFonts w:ascii="Arial" w:hAnsi="Arial" w:cs="Arial"/>
          <w:color w:val="000000"/>
          <w:sz w:val="24"/>
        </w:rPr>
      </w:pPr>
      <w:r>
        <w:rPr>
          <w:rFonts w:hint="eastAsia" w:ascii="Arial" w:hAnsi="Arial" w:cs="Arial"/>
          <w:color w:val="000000"/>
          <w:sz w:val="24"/>
        </w:rPr>
        <w:t>（1）</w:t>
      </w:r>
      <w:r>
        <w:rPr>
          <w:rFonts w:ascii="Arial" w:hAnsi="Arial" w:cs="Arial"/>
          <w:color w:val="000000"/>
          <w:sz w:val="24"/>
        </w:rPr>
        <w:t>社保费信息共享平台建设范围</w:t>
      </w:r>
    </w:p>
    <w:p>
      <w:pPr>
        <w:suppressAutoHyphens/>
        <w:spacing w:before="156" w:beforeLines="50" w:after="156" w:afterLines="50"/>
        <w:ind w:firstLine="480" w:firstLineChars="200"/>
        <w:outlineLvl w:val="1"/>
        <w:rPr>
          <w:rFonts w:ascii="Arial" w:hAnsi="Arial" w:cs="Arial"/>
          <w:sz w:val="24"/>
        </w:rPr>
      </w:pPr>
      <w:r>
        <w:rPr>
          <w:rFonts w:ascii="Arial" w:hAnsi="Arial" w:cs="Arial"/>
          <w:sz w:val="24"/>
        </w:rPr>
        <w:t>社保向税务传递</w:t>
      </w:r>
    </w:p>
    <w:tbl>
      <w:tblPr>
        <w:tblStyle w:val="3"/>
        <w:tblW w:w="861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8"/>
        <w:gridCol w:w="1285"/>
        <w:gridCol w:w="2977"/>
        <w:gridCol w:w="35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08" w:type="dxa"/>
            <w:shd w:val="clear" w:color="auto" w:fill="D9D9D9"/>
            <w:vAlign w:val="center"/>
          </w:tcPr>
          <w:p>
            <w:pPr>
              <w:jc w:val="center"/>
              <w:rPr>
                <w:rFonts w:ascii="Arial" w:hAnsi="Arial" w:cs="Arial"/>
                <w:b/>
                <w:szCs w:val="21"/>
              </w:rPr>
            </w:pPr>
            <w:r>
              <w:rPr>
                <w:rFonts w:ascii="Arial" w:hAnsi="Arial" w:cs="Arial"/>
                <w:b/>
                <w:szCs w:val="21"/>
              </w:rPr>
              <w:t>序号</w:t>
            </w:r>
          </w:p>
        </w:tc>
        <w:tc>
          <w:tcPr>
            <w:tcW w:w="4262" w:type="dxa"/>
            <w:gridSpan w:val="2"/>
            <w:shd w:val="clear" w:color="auto" w:fill="D9D9D9"/>
            <w:vAlign w:val="center"/>
          </w:tcPr>
          <w:p>
            <w:pPr>
              <w:jc w:val="center"/>
              <w:rPr>
                <w:rFonts w:ascii="Arial" w:hAnsi="Arial" w:cs="Arial"/>
                <w:b/>
                <w:szCs w:val="21"/>
              </w:rPr>
            </w:pPr>
            <w:r>
              <w:rPr>
                <w:rFonts w:ascii="Arial" w:hAnsi="Arial" w:cs="Arial"/>
                <w:b/>
                <w:szCs w:val="21"/>
              </w:rPr>
              <w:t>交换内容</w:t>
            </w:r>
          </w:p>
        </w:tc>
        <w:tc>
          <w:tcPr>
            <w:tcW w:w="3543" w:type="dxa"/>
            <w:shd w:val="clear" w:color="auto" w:fill="D9D9D9"/>
            <w:vAlign w:val="center"/>
          </w:tcPr>
          <w:p>
            <w:pPr>
              <w:widowControl/>
              <w:suppressAutoHyphens/>
              <w:jc w:val="center"/>
              <w:rPr>
                <w:rFonts w:ascii="Arial" w:hAnsi="Arial" w:cs="Arial"/>
                <w:b/>
                <w:kern w:val="0"/>
                <w:szCs w:val="21"/>
              </w:rPr>
            </w:pPr>
            <w:r>
              <w:rPr>
                <w:rFonts w:ascii="Arial" w:hAnsi="Arial" w:cs="Arial"/>
                <w:b/>
                <w:kern w:val="0"/>
                <w:szCs w:val="21"/>
              </w:rPr>
              <w:t>交换频率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08" w:type="dxa"/>
            <w:vAlign w:val="center"/>
          </w:tcPr>
          <w:p>
            <w:pPr>
              <w:adjustRightInd w:val="0"/>
              <w:jc w:val="center"/>
              <w:rPr>
                <w:rFonts w:ascii="Arial" w:hAnsi="Arial" w:cs="Arial"/>
                <w:kern w:val="0"/>
                <w:szCs w:val="21"/>
              </w:rPr>
            </w:pPr>
            <w:r>
              <w:rPr>
                <w:rFonts w:ascii="Arial" w:hAnsi="Arial" w:cs="Arial"/>
                <w:kern w:val="0"/>
                <w:szCs w:val="21"/>
              </w:rPr>
              <w:t>1</w:t>
            </w:r>
          </w:p>
        </w:tc>
        <w:tc>
          <w:tcPr>
            <w:tcW w:w="1285" w:type="dxa"/>
            <w:vMerge w:val="restart"/>
            <w:vAlign w:val="center"/>
          </w:tcPr>
          <w:p>
            <w:pPr>
              <w:adjustRightInd w:val="0"/>
              <w:jc w:val="left"/>
              <w:rPr>
                <w:rFonts w:ascii="Arial" w:hAnsi="Arial" w:cs="Arial"/>
                <w:kern w:val="0"/>
                <w:szCs w:val="21"/>
              </w:rPr>
            </w:pPr>
            <w:r>
              <w:rPr>
                <w:rFonts w:ascii="Arial" w:hAnsi="Arial" w:cs="Arial"/>
                <w:kern w:val="0"/>
                <w:szCs w:val="21"/>
              </w:rPr>
              <w:t>社保登记信息</w:t>
            </w:r>
          </w:p>
        </w:tc>
        <w:tc>
          <w:tcPr>
            <w:tcW w:w="2977" w:type="dxa"/>
            <w:vAlign w:val="center"/>
          </w:tcPr>
          <w:p>
            <w:pPr>
              <w:adjustRightInd w:val="0"/>
              <w:jc w:val="left"/>
              <w:rPr>
                <w:rFonts w:ascii="Arial" w:hAnsi="Arial" w:cs="Arial"/>
                <w:kern w:val="0"/>
                <w:szCs w:val="21"/>
              </w:rPr>
            </w:pPr>
            <w:r>
              <w:rPr>
                <w:rFonts w:ascii="Arial" w:hAnsi="Arial" w:cs="Arial"/>
                <w:kern w:val="0"/>
                <w:szCs w:val="21"/>
              </w:rPr>
              <w:t>单位参保登记信息</w:t>
            </w:r>
          </w:p>
        </w:tc>
        <w:tc>
          <w:tcPr>
            <w:tcW w:w="3543" w:type="dxa"/>
          </w:tcPr>
          <w:p>
            <w:pPr>
              <w:adjustRightInd w:val="0"/>
              <w:jc w:val="left"/>
              <w:rPr>
                <w:rFonts w:ascii="Arial" w:hAnsi="Arial" w:cs="Arial"/>
                <w:kern w:val="0"/>
                <w:szCs w:val="21"/>
              </w:rPr>
            </w:pPr>
            <w:r>
              <w:rPr>
                <w:rFonts w:ascii="Arial" w:hAnsi="Arial" w:cs="Arial"/>
                <w:kern w:val="0"/>
                <w:szCs w:val="21"/>
              </w:rPr>
              <w:t>单笔业务实时，批量业务按天定时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08" w:type="dxa"/>
            <w:vAlign w:val="center"/>
          </w:tcPr>
          <w:p>
            <w:pPr>
              <w:adjustRightInd w:val="0"/>
              <w:jc w:val="center"/>
              <w:rPr>
                <w:rFonts w:ascii="Arial" w:hAnsi="Arial" w:cs="Arial"/>
                <w:kern w:val="0"/>
                <w:szCs w:val="21"/>
              </w:rPr>
            </w:pPr>
            <w:r>
              <w:rPr>
                <w:rFonts w:ascii="Arial" w:hAnsi="Arial" w:cs="Arial"/>
                <w:kern w:val="0"/>
                <w:szCs w:val="21"/>
              </w:rPr>
              <w:t>2</w:t>
            </w:r>
          </w:p>
        </w:tc>
        <w:tc>
          <w:tcPr>
            <w:tcW w:w="1285" w:type="dxa"/>
            <w:vMerge w:val="continue"/>
            <w:vAlign w:val="center"/>
          </w:tcPr>
          <w:p>
            <w:pPr>
              <w:adjustRightInd w:val="0"/>
              <w:jc w:val="left"/>
              <w:rPr>
                <w:rFonts w:ascii="Arial" w:hAnsi="Arial" w:cs="Arial"/>
                <w:kern w:val="0"/>
                <w:szCs w:val="21"/>
              </w:rPr>
            </w:pPr>
          </w:p>
        </w:tc>
        <w:tc>
          <w:tcPr>
            <w:tcW w:w="2977" w:type="dxa"/>
            <w:vAlign w:val="center"/>
          </w:tcPr>
          <w:p>
            <w:pPr>
              <w:adjustRightInd w:val="0"/>
              <w:jc w:val="left"/>
              <w:rPr>
                <w:rFonts w:ascii="Arial" w:hAnsi="Arial" w:cs="Arial"/>
                <w:kern w:val="0"/>
                <w:szCs w:val="21"/>
              </w:rPr>
            </w:pPr>
            <w:r>
              <w:rPr>
                <w:rFonts w:ascii="Arial" w:hAnsi="Arial" w:cs="Arial"/>
                <w:kern w:val="0"/>
                <w:szCs w:val="21"/>
              </w:rPr>
              <w:t>职工个人参保登记信息</w:t>
            </w:r>
          </w:p>
        </w:tc>
        <w:tc>
          <w:tcPr>
            <w:tcW w:w="3543" w:type="dxa"/>
          </w:tcPr>
          <w:p>
            <w:pPr>
              <w:adjustRightInd w:val="0"/>
              <w:jc w:val="left"/>
              <w:rPr>
                <w:rFonts w:ascii="Arial" w:hAnsi="Arial" w:cs="Arial"/>
                <w:kern w:val="0"/>
                <w:szCs w:val="21"/>
              </w:rPr>
            </w:pPr>
            <w:r>
              <w:rPr>
                <w:rFonts w:ascii="Arial" w:hAnsi="Arial" w:cs="Arial"/>
                <w:kern w:val="0"/>
                <w:szCs w:val="21"/>
              </w:rPr>
              <w:t>单笔业务实时，批量业务按天定时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08" w:type="dxa"/>
            <w:vAlign w:val="center"/>
          </w:tcPr>
          <w:p>
            <w:pPr>
              <w:adjustRightInd w:val="0"/>
              <w:jc w:val="center"/>
              <w:rPr>
                <w:rFonts w:ascii="Arial" w:hAnsi="Arial" w:cs="Arial"/>
                <w:kern w:val="0"/>
                <w:szCs w:val="21"/>
              </w:rPr>
            </w:pPr>
            <w:r>
              <w:rPr>
                <w:rFonts w:ascii="Arial" w:hAnsi="Arial" w:cs="Arial"/>
                <w:kern w:val="0"/>
                <w:szCs w:val="21"/>
              </w:rPr>
              <w:t>3</w:t>
            </w:r>
          </w:p>
        </w:tc>
        <w:tc>
          <w:tcPr>
            <w:tcW w:w="1285" w:type="dxa"/>
            <w:vMerge w:val="continue"/>
            <w:vAlign w:val="center"/>
          </w:tcPr>
          <w:p>
            <w:pPr>
              <w:adjustRightInd w:val="0"/>
              <w:jc w:val="left"/>
              <w:rPr>
                <w:rFonts w:ascii="Arial" w:hAnsi="Arial" w:cs="Arial"/>
                <w:kern w:val="0"/>
                <w:szCs w:val="21"/>
              </w:rPr>
            </w:pPr>
          </w:p>
        </w:tc>
        <w:tc>
          <w:tcPr>
            <w:tcW w:w="2977" w:type="dxa"/>
            <w:vAlign w:val="center"/>
          </w:tcPr>
          <w:p>
            <w:pPr>
              <w:adjustRightInd w:val="0"/>
              <w:jc w:val="left"/>
              <w:rPr>
                <w:rFonts w:ascii="Arial" w:hAnsi="Arial" w:cs="Arial"/>
                <w:kern w:val="0"/>
                <w:szCs w:val="21"/>
              </w:rPr>
            </w:pPr>
            <w:r>
              <w:rPr>
                <w:rFonts w:ascii="Arial" w:hAnsi="Arial" w:cs="Arial"/>
                <w:kern w:val="0"/>
                <w:szCs w:val="21"/>
              </w:rPr>
              <w:t>灵活就业人员参保登记信息</w:t>
            </w:r>
          </w:p>
        </w:tc>
        <w:tc>
          <w:tcPr>
            <w:tcW w:w="3543" w:type="dxa"/>
          </w:tcPr>
          <w:p>
            <w:pPr>
              <w:adjustRightInd w:val="0"/>
              <w:jc w:val="left"/>
              <w:rPr>
                <w:rFonts w:ascii="Arial" w:hAnsi="Arial" w:cs="Arial"/>
                <w:kern w:val="0"/>
                <w:szCs w:val="21"/>
              </w:rPr>
            </w:pPr>
            <w:r>
              <w:rPr>
                <w:rFonts w:ascii="Arial" w:hAnsi="Arial" w:cs="Arial"/>
                <w:kern w:val="0"/>
                <w:szCs w:val="21"/>
              </w:rPr>
              <w:t>单笔业务实时，批量业务按天定时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08" w:type="dxa"/>
            <w:vAlign w:val="center"/>
          </w:tcPr>
          <w:p>
            <w:pPr>
              <w:adjustRightInd w:val="0"/>
              <w:jc w:val="center"/>
              <w:rPr>
                <w:rFonts w:ascii="Arial" w:hAnsi="Arial" w:cs="Arial"/>
                <w:kern w:val="0"/>
                <w:szCs w:val="21"/>
              </w:rPr>
            </w:pPr>
            <w:r>
              <w:rPr>
                <w:rFonts w:ascii="Arial" w:hAnsi="Arial" w:cs="Arial"/>
                <w:kern w:val="0"/>
                <w:szCs w:val="21"/>
              </w:rPr>
              <w:t>4</w:t>
            </w:r>
          </w:p>
        </w:tc>
        <w:tc>
          <w:tcPr>
            <w:tcW w:w="1285" w:type="dxa"/>
            <w:vMerge w:val="continue"/>
            <w:vAlign w:val="center"/>
          </w:tcPr>
          <w:p>
            <w:pPr>
              <w:adjustRightInd w:val="0"/>
              <w:jc w:val="left"/>
              <w:rPr>
                <w:rFonts w:ascii="Arial" w:hAnsi="Arial" w:cs="Arial"/>
                <w:kern w:val="0"/>
                <w:szCs w:val="21"/>
              </w:rPr>
            </w:pPr>
          </w:p>
        </w:tc>
        <w:tc>
          <w:tcPr>
            <w:tcW w:w="2977" w:type="dxa"/>
            <w:vAlign w:val="center"/>
          </w:tcPr>
          <w:p>
            <w:pPr>
              <w:adjustRightInd w:val="0"/>
              <w:jc w:val="left"/>
              <w:rPr>
                <w:rFonts w:ascii="Arial" w:hAnsi="Arial" w:cs="Arial"/>
                <w:kern w:val="0"/>
                <w:szCs w:val="21"/>
              </w:rPr>
            </w:pPr>
            <w:r>
              <w:rPr>
                <w:rFonts w:ascii="Arial" w:hAnsi="Arial" w:cs="Arial"/>
                <w:kern w:val="0"/>
                <w:szCs w:val="21"/>
              </w:rPr>
              <w:t>城乡居民参保登记信息</w:t>
            </w:r>
          </w:p>
        </w:tc>
        <w:tc>
          <w:tcPr>
            <w:tcW w:w="3543" w:type="dxa"/>
          </w:tcPr>
          <w:p>
            <w:pPr>
              <w:adjustRightInd w:val="0"/>
              <w:jc w:val="left"/>
              <w:rPr>
                <w:rFonts w:ascii="Arial" w:hAnsi="Arial" w:cs="Arial"/>
                <w:kern w:val="0"/>
                <w:szCs w:val="21"/>
              </w:rPr>
            </w:pPr>
            <w:r>
              <w:rPr>
                <w:rFonts w:ascii="Arial" w:hAnsi="Arial" w:cs="Arial"/>
                <w:kern w:val="0"/>
                <w:szCs w:val="21"/>
              </w:rPr>
              <w:t>单笔业务实时，批量业务按天定时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08" w:type="dxa"/>
            <w:vAlign w:val="center"/>
          </w:tcPr>
          <w:p>
            <w:pPr>
              <w:adjustRightInd w:val="0"/>
              <w:jc w:val="center"/>
              <w:rPr>
                <w:rFonts w:ascii="Arial" w:hAnsi="Arial" w:cs="Arial"/>
                <w:kern w:val="0"/>
                <w:szCs w:val="21"/>
              </w:rPr>
            </w:pPr>
            <w:r>
              <w:rPr>
                <w:rFonts w:ascii="Arial" w:hAnsi="Arial" w:cs="Arial"/>
                <w:kern w:val="0"/>
                <w:szCs w:val="21"/>
              </w:rPr>
              <w:t>5</w:t>
            </w:r>
          </w:p>
        </w:tc>
        <w:tc>
          <w:tcPr>
            <w:tcW w:w="1285" w:type="dxa"/>
            <w:vMerge w:val="continue"/>
            <w:vAlign w:val="center"/>
          </w:tcPr>
          <w:p>
            <w:pPr>
              <w:adjustRightInd w:val="0"/>
              <w:jc w:val="left"/>
              <w:rPr>
                <w:rFonts w:ascii="Arial" w:hAnsi="Arial" w:cs="Arial"/>
                <w:kern w:val="0"/>
                <w:szCs w:val="21"/>
              </w:rPr>
            </w:pPr>
          </w:p>
        </w:tc>
        <w:tc>
          <w:tcPr>
            <w:tcW w:w="2977" w:type="dxa"/>
            <w:vAlign w:val="center"/>
          </w:tcPr>
          <w:p>
            <w:pPr>
              <w:adjustRightInd w:val="0"/>
              <w:jc w:val="left"/>
              <w:rPr>
                <w:rFonts w:ascii="Arial" w:hAnsi="Arial" w:cs="Arial"/>
                <w:kern w:val="0"/>
                <w:szCs w:val="21"/>
              </w:rPr>
            </w:pPr>
            <w:r>
              <w:rPr>
                <w:rFonts w:ascii="Arial" w:hAnsi="Arial" w:cs="Arial"/>
                <w:kern w:val="0"/>
                <w:szCs w:val="21"/>
              </w:rPr>
              <w:t>工伤保险费率认定信息</w:t>
            </w:r>
          </w:p>
        </w:tc>
        <w:tc>
          <w:tcPr>
            <w:tcW w:w="3543" w:type="dxa"/>
          </w:tcPr>
          <w:p>
            <w:pPr>
              <w:adjustRightInd w:val="0"/>
              <w:jc w:val="left"/>
              <w:rPr>
                <w:rFonts w:ascii="Arial" w:hAnsi="Arial" w:cs="Arial"/>
                <w:kern w:val="0"/>
                <w:szCs w:val="21"/>
              </w:rPr>
            </w:pPr>
            <w:r>
              <w:rPr>
                <w:rFonts w:ascii="Arial" w:hAnsi="Arial" w:cs="Arial"/>
                <w:kern w:val="0"/>
                <w:szCs w:val="21"/>
              </w:rPr>
              <w:t>单笔业务实时，批量业务按天定时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08" w:type="dxa"/>
            <w:vAlign w:val="center"/>
          </w:tcPr>
          <w:p>
            <w:pPr>
              <w:adjustRightInd w:val="0"/>
              <w:jc w:val="center"/>
              <w:rPr>
                <w:rFonts w:ascii="Arial" w:hAnsi="Arial" w:cs="Arial"/>
                <w:kern w:val="0"/>
                <w:szCs w:val="21"/>
              </w:rPr>
            </w:pPr>
            <w:r>
              <w:rPr>
                <w:rFonts w:ascii="Arial" w:hAnsi="Arial" w:cs="Arial"/>
                <w:kern w:val="0"/>
                <w:szCs w:val="21"/>
              </w:rPr>
              <w:t>6</w:t>
            </w:r>
          </w:p>
        </w:tc>
        <w:tc>
          <w:tcPr>
            <w:tcW w:w="1285" w:type="dxa"/>
            <w:vMerge w:val="continue"/>
            <w:vAlign w:val="center"/>
          </w:tcPr>
          <w:p>
            <w:pPr>
              <w:adjustRightInd w:val="0"/>
              <w:jc w:val="left"/>
              <w:rPr>
                <w:rFonts w:ascii="Arial" w:hAnsi="Arial" w:cs="Arial"/>
                <w:kern w:val="0"/>
                <w:szCs w:val="21"/>
              </w:rPr>
            </w:pPr>
          </w:p>
        </w:tc>
        <w:tc>
          <w:tcPr>
            <w:tcW w:w="2977" w:type="dxa"/>
            <w:vAlign w:val="center"/>
          </w:tcPr>
          <w:p>
            <w:pPr>
              <w:adjustRightInd w:val="0"/>
              <w:jc w:val="left"/>
              <w:rPr>
                <w:rFonts w:ascii="Arial" w:hAnsi="Arial" w:cs="Arial"/>
                <w:kern w:val="0"/>
                <w:szCs w:val="21"/>
              </w:rPr>
            </w:pPr>
            <w:r>
              <w:rPr>
                <w:rFonts w:ascii="Arial" w:hAnsi="Arial" w:cs="Arial"/>
                <w:kern w:val="0"/>
                <w:szCs w:val="21"/>
              </w:rPr>
              <w:t>工程项目工伤保险参保登记信息</w:t>
            </w:r>
          </w:p>
        </w:tc>
        <w:tc>
          <w:tcPr>
            <w:tcW w:w="3543" w:type="dxa"/>
          </w:tcPr>
          <w:p>
            <w:pPr>
              <w:adjustRightInd w:val="0"/>
              <w:jc w:val="left"/>
              <w:rPr>
                <w:rFonts w:ascii="Arial" w:hAnsi="Arial" w:cs="Arial"/>
                <w:kern w:val="0"/>
                <w:szCs w:val="21"/>
              </w:rPr>
            </w:pPr>
            <w:r>
              <w:rPr>
                <w:rFonts w:ascii="Arial" w:hAnsi="Arial" w:cs="Arial"/>
                <w:kern w:val="0"/>
                <w:szCs w:val="21"/>
              </w:rPr>
              <w:t>单笔业务实时，批量业务按天定时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08" w:type="dxa"/>
            <w:vAlign w:val="center"/>
          </w:tcPr>
          <w:p>
            <w:pPr>
              <w:adjustRightInd w:val="0"/>
              <w:jc w:val="center"/>
              <w:rPr>
                <w:rFonts w:ascii="Arial" w:hAnsi="Arial" w:cs="Arial"/>
                <w:kern w:val="0"/>
                <w:szCs w:val="21"/>
              </w:rPr>
            </w:pPr>
            <w:r>
              <w:rPr>
                <w:rFonts w:ascii="Arial" w:hAnsi="Arial" w:cs="Arial"/>
                <w:kern w:val="0"/>
                <w:szCs w:val="21"/>
              </w:rPr>
              <w:t>7</w:t>
            </w:r>
          </w:p>
        </w:tc>
        <w:tc>
          <w:tcPr>
            <w:tcW w:w="1285" w:type="dxa"/>
            <w:vAlign w:val="center"/>
          </w:tcPr>
          <w:p>
            <w:pPr>
              <w:adjustRightInd w:val="0"/>
              <w:jc w:val="left"/>
              <w:rPr>
                <w:rFonts w:ascii="Arial" w:hAnsi="Arial" w:cs="Arial"/>
                <w:kern w:val="0"/>
                <w:szCs w:val="21"/>
              </w:rPr>
            </w:pPr>
            <w:r>
              <w:rPr>
                <w:rFonts w:ascii="Arial" w:hAnsi="Arial" w:cs="Arial"/>
                <w:kern w:val="0"/>
                <w:szCs w:val="21"/>
              </w:rPr>
              <w:t>对账信息</w:t>
            </w:r>
          </w:p>
        </w:tc>
        <w:tc>
          <w:tcPr>
            <w:tcW w:w="2977" w:type="dxa"/>
            <w:vAlign w:val="center"/>
          </w:tcPr>
          <w:p>
            <w:pPr>
              <w:adjustRightInd w:val="0"/>
              <w:jc w:val="left"/>
              <w:rPr>
                <w:rFonts w:ascii="Arial" w:hAnsi="Arial" w:cs="Arial"/>
                <w:kern w:val="0"/>
                <w:szCs w:val="21"/>
              </w:rPr>
            </w:pPr>
            <w:r>
              <w:rPr>
                <w:rFonts w:ascii="Arial" w:hAnsi="Arial" w:cs="Arial"/>
                <w:kern w:val="0"/>
                <w:szCs w:val="21"/>
              </w:rPr>
              <w:t>社保费到账处理结果反馈信息</w:t>
            </w:r>
          </w:p>
        </w:tc>
        <w:tc>
          <w:tcPr>
            <w:tcW w:w="3543" w:type="dxa"/>
          </w:tcPr>
          <w:p>
            <w:pPr>
              <w:adjustRightInd w:val="0"/>
              <w:jc w:val="left"/>
              <w:rPr>
                <w:rFonts w:ascii="Arial" w:hAnsi="Arial" w:cs="Arial"/>
                <w:kern w:val="0"/>
                <w:szCs w:val="21"/>
              </w:rPr>
            </w:pPr>
            <w:r>
              <w:rPr>
                <w:rFonts w:ascii="Arial" w:hAnsi="Arial" w:cs="Arial"/>
                <w:kern w:val="0"/>
                <w:szCs w:val="21"/>
              </w:rPr>
              <w:t>单笔业务实时，批量业务按天定时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08" w:type="dxa"/>
            <w:vAlign w:val="center"/>
          </w:tcPr>
          <w:p>
            <w:pPr>
              <w:adjustRightInd w:val="0"/>
              <w:jc w:val="center"/>
              <w:rPr>
                <w:rFonts w:ascii="Arial" w:hAnsi="Arial" w:cs="Arial"/>
                <w:kern w:val="0"/>
                <w:szCs w:val="21"/>
              </w:rPr>
            </w:pPr>
            <w:r>
              <w:rPr>
                <w:rFonts w:ascii="Arial" w:hAnsi="Arial" w:cs="Arial"/>
                <w:kern w:val="0"/>
                <w:szCs w:val="21"/>
              </w:rPr>
              <w:t>8</w:t>
            </w:r>
          </w:p>
        </w:tc>
        <w:tc>
          <w:tcPr>
            <w:tcW w:w="1285" w:type="dxa"/>
            <w:vAlign w:val="center"/>
          </w:tcPr>
          <w:p>
            <w:pPr>
              <w:adjustRightInd w:val="0"/>
              <w:jc w:val="left"/>
              <w:rPr>
                <w:rFonts w:ascii="Arial" w:hAnsi="Arial" w:cs="Arial"/>
                <w:kern w:val="0"/>
                <w:szCs w:val="21"/>
              </w:rPr>
            </w:pPr>
            <w:r>
              <w:rPr>
                <w:rFonts w:ascii="Arial" w:hAnsi="Arial" w:cs="Arial"/>
                <w:kern w:val="0"/>
                <w:szCs w:val="21"/>
              </w:rPr>
              <w:t>特殊缴费业务信息</w:t>
            </w:r>
          </w:p>
        </w:tc>
        <w:tc>
          <w:tcPr>
            <w:tcW w:w="2977" w:type="dxa"/>
            <w:vAlign w:val="center"/>
          </w:tcPr>
          <w:p>
            <w:pPr>
              <w:adjustRightInd w:val="0"/>
              <w:jc w:val="left"/>
              <w:rPr>
                <w:rFonts w:ascii="Arial" w:hAnsi="Arial" w:cs="Arial"/>
                <w:kern w:val="0"/>
                <w:szCs w:val="21"/>
              </w:rPr>
            </w:pPr>
            <w:r>
              <w:rPr>
                <w:rFonts w:ascii="Arial" w:hAnsi="Arial" w:cs="Arial"/>
                <w:kern w:val="0"/>
                <w:szCs w:val="21"/>
              </w:rPr>
              <w:t>特殊缴费业务信息</w:t>
            </w:r>
          </w:p>
        </w:tc>
        <w:tc>
          <w:tcPr>
            <w:tcW w:w="3543" w:type="dxa"/>
          </w:tcPr>
          <w:p>
            <w:pPr>
              <w:adjustRightInd w:val="0"/>
              <w:jc w:val="left"/>
              <w:rPr>
                <w:rFonts w:ascii="Arial" w:hAnsi="Arial" w:cs="Arial"/>
                <w:kern w:val="0"/>
                <w:szCs w:val="21"/>
              </w:rPr>
            </w:pPr>
            <w:r>
              <w:rPr>
                <w:rFonts w:ascii="Arial" w:hAnsi="Arial" w:cs="Arial"/>
                <w:kern w:val="0"/>
                <w:szCs w:val="21"/>
              </w:rPr>
              <w:t>单笔业务实时，批量业务按天定时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08" w:type="dxa"/>
            <w:vAlign w:val="center"/>
          </w:tcPr>
          <w:p>
            <w:pPr>
              <w:adjustRightInd w:val="0"/>
              <w:jc w:val="center"/>
              <w:rPr>
                <w:rFonts w:ascii="Arial" w:hAnsi="Arial" w:cs="Arial"/>
                <w:kern w:val="0"/>
                <w:szCs w:val="21"/>
              </w:rPr>
            </w:pPr>
            <w:r>
              <w:rPr>
                <w:rFonts w:ascii="Arial" w:hAnsi="Arial" w:cs="Arial"/>
                <w:kern w:val="0"/>
                <w:szCs w:val="21"/>
              </w:rPr>
              <w:t>9</w:t>
            </w:r>
          </w:p>
        </w:tc>
        <w:tc>
          <w:tcPr>
            <w:tcW w:w="1285" w:type="dxa"/>
            <w:vMerge w:val="restart"/>
            <w:vAlign w:val="center"/>
          </w:tcPr>
          <w:p>
            <w:pPr>
              <w:adjustRightInd w:val="0"/>
              <w:jc w:val="left"/>
              <w:rPr>
                <w:rFonts w:ascii="Arial" w:hAnsi="Arial" w:cs="Arial"/>
                <w:kern w:val="0"/>
                <w:szCs w:val="21"/>
              </w:rPr>
            </w:pPr>
            <w:r>
              <w:rPr>
                <w:rFonts w:ascii="Arial" w:hAnsi="Arial" w:cs="Arial"/>
                <w:kern w:val="0"/>
                <w:szCs w:val="21"/>
              </w:rPr>
              <w:t>退费信息</w:t>
            </w:r>
          </w:p>
        </w:tc>
        <w:tc>
          <w:tcPr>
            <w:tcW w:w="2977" w:type="dxa"/>
          </w:tcPr>
          <w:p>
            <w:pPr>
              <w:adjustRightInd w:val="0"/>
              <w:jc w:val="left"/>
              <w:rPr>
                <w:rFonts w:ascii="Arial" w:hAnsi="Arial" w:cs="Arial"/>
                <w:kern w:val="0"/>
                <w:szCs w:val="21"/>
              </w:rPr>
            </w:pPr>
            <w:r>
              <w:rPr>
                <w:rFonts w:ascii="Arial" w:hAnsi="Arial" w:cs="Arial"/>
                <w:kern w:val="0"/>
                <w:szCs w:val="21"/>
              </w:rPr>
              <w:t>社保费退费复核核验信息反馈</w:t>
            </w:r>
          </w:p>
        </w:tc>
        <w:tc>
          <w:tcPr>
            <w:tcW w:w="3543" w:type="dxa"/>
          </w:tcPr>
          <w:p>
            <w:pPr>
              <w:adjustRightInd w:val="0"/>
              <w:jc w:val="left"/>
              <w:rPr>
                <w:rFonts w:ascii="Arial" w:hAnsi="Arial" w:cs="Arial"/>
                <w:kern w:val="0"/>
                <w:szCs w:val="21"/>
              </w:rPr>
            </w:pPr>
            <w:r>
              <w:rPr>
                <w:rFonts w:ascii="Arial" w:hAnsi="Arial" w:cs="Arial"/>
                <w:kern w:val="0"/>
                <w:szCs w:val="21"/>
              </w:rPr>
              <w:t>单笔业务实时，批量业务按天定时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08" w:type="dxa"/>
            <w:vAlign w:val="center"/>
          </w:tcPr>
          <w:p>
            <w:pPr>
              <w:adjustRightInd w:val="0"/>
              <w:jc w:val="center"/>
              <w:rPr>
                <w:rFonts w:ascii="Arial" w:hAnsi="Arial" w:cs="Arial"/>
                <w:kern w:val="0"/>
                <w:szCs w:val="21"/>
              </w:rPr>
            </w:pPr>
            <w:r>
              <w:rPr>
                <w:rFonts w:ascii="Arial" w:hAnsi="Arial" w:cs="Arial"/>
                <w:kern w:val="0"/>
                <w:szCs w:val="21"/>
              </w:rPr>
              <w:t>10</w:t>
            </w:r>
          </w:p>
        </w:tc>
        <w:tc>
          <w:tcPr>
            <w:tcW w:w="1285" w:type="dxa"/>
            <w:vMerge w:val="continue"/>
            <w:vAlign w:val="center"/>
          </w:tcPr>
          <w:p>
            <w:pPr>
              <w:adjustRightInd w:val="0"/>
              <w:jc w:val="left"/>
              <w:rPr>
                <w:rFonts w:ascii="Arial" w:hAnsi="Arial" w:cs="Arial"/>
                <w:kern w:val="0"/>
                <w:szCs w:val="21"/>
              </w:rPr>
            </w:pPr>
          </w:p>
        </w:tc>
        <w:tc>
          <w:tcPr>
            <w:tcW w:w="2977" w:type="dxa"/>
          </w:tcPr>
          <w:p>
            <w:pPr>
              <w:adjustRightInd w:val="0"/>
              <w:jc w:val="left"/>
              <w:rPr>
                <w:rFonts w:ascii="Arial" w:hAnsi="Arial" w:cs="Arial"/>
                <w:kern w:val="0"/>
                <w:szCs w:val="21"/>
              </w:rPr>
            </w:pPr>
            <w:r>
              <w:rPr>
                <w:rFonts w:ascii="Arial" w:hAnsi="Arial" w:cs="Arial"/>
                <w:kern w:val="0"/>
                <w:szCs w:val="21"/>
              </w:rPr>
              <w:t>社保费退费销号信息反馈</w:t>
            </w:r>
          </w:p>
        </w:tc>
        <w:tc>
          <w:tcPr>
            <w:tcW w:w="3543" w:type="dxa"/>
          </w:tcPr>
          <w:p>
            <w:pPr>
              <w:adjustRightInd w:val="0"/>
              <w:jc w:val="left"/>
              <w:rPr>
                <w:rFonts w:ascii="Arial" w:hAnsi="Arial" w:cs="Arial"/>
                <w:kern w:val="0"/>
                <w:szCs w:val="21"/>
              </w:rPr>
            </w:pPr>
            <w:r>
              <w:rPr>
                <w:rFonts w:ascii="Arial" w:hAnsi="Arial" w:cs="Arial"/>
                <w:kern w:val="0"/>
                <w:szCs w:val="21"/>
              </w:rPr>
              <w:t>单笔业务实时，批量业务按天定时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08" w:type="dxa"/>
            <w:vAlign w:val="center"/>
          </w:tcPr>
          <w:p>
            <w:pPr>
              <w:adjustRightInd w:val="0"/>
              <w:jc w:val="center"/>
              <w:rPr>
                <w:rFonts w:ascii="Arial" w:hAnsi="Arial" w:cs="Arial"/>
                <w:kern w:val="0"/>
                <w:szCs w:val="21"/>
              </w:rPr>
            </w:pPr>
            <w:r>
              <w:rPr>
                <w:rFonts w:ascii="Arial" w:hAnsi="Arial" w:cs="Arial"/>
                <w:kern w:val="0"/>
                <w:szCs w:val="21"/>
              </w:rPr>
              <w:t>11</w:t>
            </w:r>
          </w:p>
        </w:tc>
        <w:tc>
          <w:tcPr>
            <w:tcW w:w="1285" w:type="dxa"/>
            <w:vMerge w:val="restart"/>
            <w:vAlign w:val="center"/>
          </w:tcPr>
          <w:p>
            <w:pPr>
              <w:adjustRightInd w:val="0"/>
              <w:jc w:val="left"/>
              <w:rPr>
                <w:rFonts w:ascii="Arial" w:hAnsi="Arial" w:cs="Arial"/>
                <w:kern w:val="0"/>
                <w:szCs w:val="21"/>
              </w:rPr>
            </w:pPr>
            <w:r>
              <w:rPr>
                <w:rFonts w:ascii="Arial" w:hAnsi="Arial" w:cs="Arial"/>
                <w:kern w:val="0"/>
                <w:szCs w:val="21"/>
              </w:rPr>
              <w:t>征集信息</w:t>
            </w:r>
          </w:p>
        </w:tc>
        <w:tc>
          <w:tcPr>
            <w:tcW w:w="2977" w:type="dxa"/>
          </w:tcPr>
          <w:p>
            <w:pPr>
              <w:adjustRightInd w:val="0"/>
              <w:jc w:val="left"/>
              <w:rPr>
                <w:rFonts w:ascii="Arial" w:hAnsi="Arial" w:cs="Arial"/>
                <w:kern w:val="0"/>
                <w:szCs w:val="21"/>
              </w:rPr>
            </w:pPr>
            <w:r>
              <w:rPr>
                <w:rFonts w:ascii="Arial" w:hAnsi="Arial" w:cs="Arial"/>
                <w:kern w:val="0"/>
                <w:szCs w:val="21"/>
              </w:rPr>
              <w:t>单位征集信息</w:t>
            </w:r>
          </w:p>
        </w:tc>
        <w:tc>
          <w:tcPr>
            <w:tcW w:w="3543" w:type="dxa"/>
          </w:tcPr>
          <w:p>
            <w:pPr>
              <w:adjustRightInd w:val="0"/>
              <w:jc w:val="left"/>
              <w:rPr>
                <w:rFonts w:ascii="Arial" w:hAnsi="Arial" w:cs="Arial"/>
                <w:kern w:val="0"/>
                <w:szCs w:val="21"/>
              </w:rPr>
            </w:pPr>
            <w:r>
              <w:rPr>
                <w:rFonts w:ascii="Arial" w:hAnsi="Arial" w:cs="Arial"/>
                <w:kern w:val="0"/>
                <w:szCs w:val="21"/>
              </w:rPr>
              <w:t>单笔业务实时，批量业务按天定时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08" w:type="dxa"/>
            <w:vAlign w:val="center"/>
          </w:tcPr>
          <w:p>
            <w:pPr>
              <w:adjustRightInd w:val="0"/>
              <w:jc w:val="center"/>
              <w:rPr>
                <w:rFonts w:ascii="Arial" w:hAnsi="Arial" w:cs="Arial"/>
                <w:kern w:val="0"/>
                <w:szCs w:val="21"/>
              </w:rPr>
            </w:pPr>
            <w:r>
              <w:rPr>
                <w:rFonts w:ascii="Arial" w:hAnsi="Arial" w:cs="Arial"/>
                <w:kern w:val="0"/>
                <w:szCs w:val="21"/>
              </w:rPr>
              <w:t>12</w:t>
            </w:r>
          </w:p>
        </w:tc>
        <w:tc>
          <w:tcPr>
            <w:tcW w:w="1285" w:type="dxa"/>
            <w:vMerge w:val="continue"/>
            <w:vAlign w:val="center"/>
          </w:tcPr>
          <w:p>
            <w:pPr>
              <w:adjustRightInd w:val="0"/>
              <w:jc w:val="left"/>
              <w:rPr>
                <w:rFonts w:ascii="Arial" w:hAnsi="Arial" w:cs="Arial"/>
                <w:kern w:val="0"/>
                <w:szCs w:val="21"/>
              </w:rPr>
            </w:pPr>
          </w:p>
        </w:tc>
        <w:tc>
          <w:tcPr>
            <w:tcW w:w="2977" w:type="dxa"/>
          </w:tcPr>
          <w:p>
            <w:pPr>
              <w:adjustRightInd w:val="0"/>
              <w:jc w:val="left"/>
              <w:rPr>
                <w:rFonts w:ascii="Arial" w:hAnsi="Arial" w:cs="Arial"/>
                <w:kern w:val="0"/>
                <w:szCs w:val="21"/>
              </w:rPr>
            </w:pPr>
            <w:r>
              <w:rPr>
                <w:rFonts w:ascii="Arial" w:hAnsi="Arial" w:cs="Arial"/>
                <w:kern w:val="0"/>
                <w:szCs w:val="21"/>
              </w:rPr>
              <w:t>灵活就业人员征集信息</w:t>
            </w:r>
          </w:p>
        </w:tc>
        <w:tc>
          <w:tcPr>
            <w:tcW w:w="3543" w:type="dxa"/>
          </w:tcPr>
          <w:p>
            <w:pPr>
              <w:adjustRightInd w:val="0"/>
              <w:jc w:val="left"/>
              <w:rPr>
                <w:rFonts w:ascii="Arial" w:hAnsi="Arial" w:cs="Arial"/>
                <w:kern w:val="0"/>
                <w:szCs w:val="21"/>
              </w:rPr>
            </w:pPr>
            <w:r>
              <w:rPr>
                <w:rFonts w:ascii="Arial" w:hAnsi="Arial" w:cs="Arial"/>
                <w:kern w:val="0"/>
                <w:szCs w:val="21"/>
              </w:rPr>
              <w:t>单笔业务实时，批量业务按天定时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08" w:type="dxa"/>
            <w:vAlign w:val="center"/>
          </w:tcPr>
          <w:p>
            <w:pPr>
              <w:adjustRightInd w:val="0"/>
              <w:jc w:val="center"/>
              <w:rPr>
                <w:rFonts w:ascii="Arial" w:hAnsi="Arial" w:cs="Arial"/>
                <w:kern w:val="0"/>
                <w:szCs w:val="21"/>
              </w:rPr>
            </w:pPr>
            <w:r>
              <w:rPr>
                <w:rFonts w:ascii="Arial" w:hAnsi="Arial" w:cs="Arial"/>
                <w:kern w:val="0"/>
                <w:szCs w:val="21"/>
              </w:rPr>
              <w:t>13</w:t>
            </w:r>
          </w:p>
        </w:tc>
        <w:tc>
          <w:tcPr>
            <w:tcW w:w="1285" w:type="dxa"/>
            <w:vMerge w:val="continue"/>
            <w:vAlign w:val="center"/>
          </w:tcPr>
          <w:p>
            <w:pPr>
              <w:adjustRightInd w:val="0"/>
              <w:jc w:val="left"/>
              <w:rPr>
                <w:rFonts w:ascii="Arial" w:hAnsi="Arial" w:cs="Arial"/>
                <w:kern w:val="0"/>
                <w:szCs w:val="21"/>
              </w:rPr>
            </w:pPr>
          </w:p>
        </w:tc>
        <w:tc>
          <w:tcPr>
            <w:tcW w:w="2977" w:type="dxa"/>
          </w:tcPr>
          <w:p>
            <w:pPr>
              <w:adjustRightInd w:val="0"/>
              <w:jc w:val="left"/>
              <w:rPr>
                <w:rFonts w:ascii="Arial" w:hAnsi="Arial" w:cs="Arial"/>
                <w:kern w:val="0"/>
                <w:szCs w:val="21"/>
              </w:rPr>
            </w:pPr>
            <w:r>
              <w:rPr>
                <w:rFonts w:ascii="Arial" w:hAnsi="Arial" w:cs="Arial"/>
                <w:kern w:val="0"/>
                <w:szCs w:val="21"/>
              </w:rPr>
              <w:t>城乡居民征集信息</w:t>
            </w:r>
          </w:p>
        </w:tc>
        <w:tc>
          <w:tcPr>
            <w:tcW w:w="3543" w:type="dxa"/>
          </w:tcPr>
          <w:p>
            <w:pPr>
              <w:adjustRightInd w:val="0"/>
              <w:jc w:val="left"/>
              <w:rPr>
                <w:rFonts w:ascii="Arial" w:hAnsi="Arial" w:cs="Arial"/>
                <w:kern w:val="0"/>
                <w:szCs w:val="21"/>
              </w:rPr>
            </w:pPr>
            <w:r>
              <w:rPr>
                <w:rFonts w:ascii="Arial" w:hAnsi="Arial" w:cs="Arial"/>
                <w:kern w:val="0"/>
                <w:szCs w:val="21"/>
              </w:rPr>
              <w:t>单笔业务实时，批量业务按天定时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08" w:type="dxa"/>
            <w:vAlign w:val="center"/>
          </w:tcPr>
          <w:p>
            <w:pPr>
              <w:adjustRightInd w:val="0"/>
              <w:jc w:val="center"/>
              <w:rPr>
                <w:rFonts w:ascii="Arial" w:hAnsi="Arial" w:cs="Arial"/>
                <w:kern w:val="0"/>
                <w:szCs w:val="21"/>
              </w:rPr>
            </w:pPr>
            <w:r>
              <w:rPr>
                <w:rFonts w:ascii="Arial" w:hAnsi="Arial" w:cs="Arial"/>
                <w:kern w:val="0"/>
                <w:szCs w:val="21"/>
              </w:rPr>
              <w:t>14</w:t>
            </w:r>
          </w:p>
        </w:tc>
        <w:tc>
          <w:tcPr>
            <w:tcW w:w="1285" w:type="dxa"/>
            <w:vMerge w:val="continue"/>
            <w:vAlign w:val="center"/>
          </w:tcPr>
          <w:p>
            <w:pPr>
              <w:adjustRightInd w:val="0"/>
              <w:jc w:val="left"/>
              <w:rPr>
                <w:rFonts w:ascii="Arial" w:hAnsi="Arial" w:cs="Arial"/>
                <w:kern w:val="0"/>
                <w:szCs w:val="21"/>
              </w:rPr>
            </w:pPr>
          </w:p>
        </w:tc>
        <w:tc>
          <w:tcPr>
            <w:tcW w:w="2977" w:type="dxa"/>
          </w:tcPr>
          <w:p>
            <w:pPr>
              <w:adjustRightInd w:val="0"/>
              <w:jc w:val="left"/>
              <w:rPr>
                <w:rFonts w:ascii="Arial" w:hAnsi="Arial" w:cs="Arial"/>
                <w:kern w:val="0"/>
                <w:szCs w:val="21"/>
              </w:rPr>
            </w:pPr>
            <w:r>
              <w:rPr>
                <w:rFonts w:ascii="Arial" w:hAnsi="Arial" w:cs="Arial"/>
                <w:kern w:val="0"/>
                <w:szCs w:val="21"/>
              </w:rPr>
              <w:t>工程项目工伤保险征集信息</w:t>
            </w:r>
          </w:p>
        </w:tc>
        <w:tc>
          <w:tcPr>
            <w:tcW w:w="3543" w:type="dxa"/>
          </w:tcPr>
          <w:p>
            <w:pPr>
              <w:adjustRightInd w:val="0"/>
              <w:jc w:val="left"/>
              <w:rPr>
                <w:rFonts w:ascii="Arial" w:hAnsi="Arial" w:cs="Arial"/>
                <w:kern w:val="0"/>
                <w:szCs w:val="21"/>
              </w:rPr>
            </w:pPr>
            <w:r>
              <w:rPr>
                <w:rFonts w:ascii="Arial" w:hAnsi="Arial" w:cs="Arial"/>
                <w:kern w:val="0"/>
                <w:szCs w:val="21"/>
              </w:rPr>
              <w:t>单笔业务实时，批量业务按天定时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08" w:type="dxa"/>
            <w:vAlign w:val="center"/>
          </w:tcPr>
          <w:p>
            <w:pPr>
              <w:adjustRightInd w:val="0"/>
              <w:jc w:val="center"/>
              <w:rPr>
                <w:rFonts w:ascii="Arial" w:hAnsi="Arial" w:cs="Arial"/>
                <w:kern w:val="0"/>
                <w:szCs w:val="21"/>
              </w:rPr>
            </w:pPr>
            <w:r>
              <w:rPr>
                <w:rFonts w:ascii="Arial" w:hAnsi="Arial" w:cs="Arial"/>
                <w:kern w:val="0"/>
                <w:szCs w:val="21"/>
              </w:rPr>
              <w:t>15</w:t>
            </w:r>
          </w:p>
        </w:tc>
        <w:tc>
          <w:tcPr>
            <w:tcW w:w="1285" w:type="dxa"/>
            <w:vMerge w:val="continue"/>
            <w:vAlign w:val="center"/>
          </w:tcPr>
          <w:p>
            <w:pPr>
              <w:adjustRightInd w:val="0"/>
              <w:jc w:val="left"/>
              <w:rPr>
                <w:rFonts w:ascii="Arial" w:hAnsi="Arial" w:cs="Arial"/>
                <w:kern w:val="0"/>
                <w:szCs w:val="21"/>
              </w:rPr>
            </w:pPr>
          </w:p>
        </w:tc>
        <w:tc>
          <w:tcPr>
            <w:tcW w:w="2977" w:type="dxa"/>
          </w:tcPr>
          <w:p>
            <w:pPr>
              <w:adjustRightInd w:val="0"/>
              <w:jc w:val="left"/>
              <w:rPr>
                <w:rFonts w:ascii="Arial" w:hAnsi="Arial" w:cs="Arial"/>
                <w:kern w:val="0"/>
                <w:szCs w:val="21"/>
              </w:rPr>
            </w:pPr>
            <w:r>
              <w:rPr>
                <w:rFonts w:ascii="Arial" w:hAnsi="Arial" w:cs="Arial"/>
                <w:kern w:val="0"/>
                <w:szCs w:val="21"/>
              </w:rPr>
              <w:t>征集信息撤销</w:t>
            </w:r>
          </w:p>
        </w:tc>
        <w:tc>
          <w:tcPr>
            <w:tcW w:w="3543" w:type="dxa"/>
          </w:tcPr>
          <w:p>
            <w:pPr>
              <w:adjustRightInd w:val="0"/>
              <w:jc w:val="left"/>
              <w:rPr>
                <w:rFonts w:ascii="Arial" w:hAnsi="Arial" w:cs="Arial"/>
                <w:kern w:val="0"/>
                <w:szCs w:val="21"/>
              </w:rPr>
            </w:pPr>
            <w:r>
              <w:rPr>
                <w:rFonts w:ascii="Arial" w:hAnsi="Arial" w:cs="Arial"/>
                <w:kern w:val="0"/>
                <w:szCs w:val="21"/>
              </w:rPr>
              <w:t>单笔业务实时，批量业务按天定时</w:t>
            </w:r>
          </w:p>
        </w:tc>
      </w:tr>
    </w:tbl>
    <w:p>
      <w:pPr>
        <w:suppressAutoHyphens/>
        <w:spacing w:before="156" w:beforeLines="50" w:after="156" w:afterLines="50" w:line="360" w:lineRule="auto"/>
        <w:ind w:firstLine="424" w:firstLineChars="177"/>
        <w:outlineLvl w:val="1"/>
        <w:rPr>
          <w:rFonts w:ascii="Arial" w:hAnsi="Arial" w:cs="Arial"/>
          <w:sz w:val="24"/>
        </w:rPr>
      </w:pPr>
      <w:r>
        <w:rPr>
          <w:rFonts w:ascii="Arial" w:hAnsi="Arial" w:cs="Arial"/>
          <w:sz w:val="24"/>
        </w:rPr>
        <w:t>税务向社保传递</w:t>
      </w:r>
    </w:p>
    <w:tbl>
      <w:tblPr>
        <w:tblStyle w:val="3"/>
        <w:tblW w:w="864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1418"/>
        <w:gridCol w:w="2835"/>
        <w:gridCol w:w="35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51" w:type="dxa"/>
            <w:shd w:val="clear" w:color="auto" w:fill="D9D9D9"/>
            <w:vAlign w:val="center"/>
          </w:tcPr>
          <w:p>
            <w:pPr>
              <w:jc w:val="center"/>
              <w:rPr>
                <w:rFonts w:ascii="Arial" w:hAnsi="Arial" w:cs="Arial"/>
                <w:b/>
                <w:szCs w:val="21"/>
              </w:rPr>
            </w:pPr>
            <w:r>
              <w:rPr>
                <w:rFonts w:ascii="Arial" w:hAnsi="Arial" w:cs="Arial"/>
                <w:b/>
                <w:szCs w:val="21"/>
              </w:rPr>
              <w:t>序号</w:t>
            </w:r>
          </w:p>
        </w:tc>
        <w:tc>
          <w:tcPr>
            <w:tcW w:w="4253" w:type="dxa"/>
            <w:gridSpan w:val="2"/>
            <w:shd w:val="clear" w:color="auto" w:fill="D9D9D9"/>
            <w:vAlign w:val="center"/>
          </w:tcPr>
          <w:p>
            <w:pPr>
              <w:jc w:val="center"/>
              <w:rPr>
                <w:rFonts w:ascii="Arial" w:hAnsi="Arial" w:cs="Arial"/>
                <w:b/>
                <w:szCs w:val="21"/>
              </w:rPr>
            </w:pPr>
            <w:r>
              <w:rPr>
                <w:rFonts w:ascii="Arial" w:hAnsi="Arial" w:cs="Arial"/>
                <w:b/>
                <w:szCs w:val="21"/>
              </w:rPr>
              <w:t>交换内容</w:t>
            </w:r>
          </w:p>
        </w:tc>
        <w:tc>
          <w:tcPr>
            <w:tcW w:w="3543" w:type="dxa"/>
            <w:shd w:val="clear" w:color="auto" w:fill="D9D9D9"/>
            <w:vAlign w:val="center"/>
          </w:tcPr>
          <w:p>
            <w:pPr>
              <w:jc w:val="center"/>
              <w:rPr>
                <w:rFonts w:ascii="Arial" w:hAnsi="Arial" w:cs="Arial"/>
                <w:b/>
                <w:szCs w:val="21"/>
              </w:rPr>
            </w:pPr>
            <w:r>
              <w:rPr>
                <w:rFonts w:ascii="Arial" w:hAnsi="Arial" w:cs="Arial"/>
                <w:b/>
                <w:szCs w:val="21"/>
              </w:rPr>
              <w:t>交换频率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51" w:type="dxa"/>
            <w:vAlign w:val="center"/>
          </w:tcPr>
          <w:p>
            <w:pPr>
              <w:adjustRightInd w:val="0"/>
              <w:jc w:val="center"/>
              <w:rPr>
                <w:rFonts w:ascii="Arial" w:hAnsi="Arial" w:cs="Arial"/>
                <w:kern w:val="0"/>
                <w:szCs w:val="21"/>
              </w:rPr>
            </w:pPr>
            <w:r>
              <w:rPr>
                <w:rFonts w:ascii="Arial" w:hAnsi="Arial" w:cs="Arial"/>
                <w:kern w:val="0"/>
                <w:szCs w:val="21"/>
              </w:rPr>
              <w:t>1</w:t>
            </w:r>
          </w:p>
        </w:tc>
        <w:tc>
          <w:tcPr>
            <w:tcW w:w="1418" w:type="dxa"/>
            <w:vAlign w:val="center"/>
          </w:tcPr>
          <w:p>
            <w:pPr>
              <w:adjustRightInd w:val="0"/>
              <w:jc w:val="left"/>
              <w:rPr>
                <w:rFonts w:ascii="Arial" w:hAnsi="Arial" w:cs="Arial"/>
                <w:kern w:val="0"/>
                <w:szCs w:val="21"/>
              </w:rPr>
            </w:pPr>
            <w:r>
              <w:rPr>
                <w:rFonts w:ascii="Arial" w:hAnsi="Arial" w:cs="Arial"/>
                <w:kern w:val="0"/>
                <w:szCs w:val="21"/>
              </w:rPr>
              <w:t>社保登记信息</w:t>
            </w:r>
          </w:p>
        </w:tc>
        <w:tc>
          <w:tcPr>
            <w:tcW w:w="2835" w:type="dxa"/>
            <w:vAlign w:val="center"/>
          </w:tcPr>
          <w:p>
            <w:pPr>
              <w:adjustRightInd w:val="0"/>
              <w:jc w:val="left"/>
              <w:rPr>
                <w:rFonts w:ascii="Arial" w:hAnsi="Arial" w:cs="Arial"/>
                <w:kern w:val="0"/>
                <w:szCs w:val="21"/>
              </w:rPr>
            </w:pPr>
            <w:r>
              <w:rPr>
                <w:rFonts w:ascii="Arial" w:hAnsi="Arial" w:cs="Arial"/>
                <w:kern w:val="0"/>
                <w:szCs w:val="21"/>
              </w:rPr>
              <w:t>登记信息关联比对结果反馈</w:t>
            </w:r>
          </w:p>
        </w:tc>
        <w:tc>
          <w:tcPr>
            <w:tcW w:w="3543" w:type="dxa"/>
          </w:tcPr>
          <w:p>
            <w:pPr>
              <w:suppressAutoHyphens/>
              <w:rPr>
                <w:rFonts w:ascii="Arial" w:hAnsi="Arial" w:cs="Arial"/>
                <w:kern w:val="0"/>
                <w:szCs w:val="21"/>
              </w:rPr>
            </w:pPr>
            <w:r>
              <w:rPr>
                <w:rFonts w:ascii="Arial" w:hAnsi="Arial" w:cs="Arial"/>
                <w:kern w:val="0"/>
                <w:szCs w:val="21"/>
              </w:rPr>
              <w:t>单笔业务实时，批量业务按天定时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51" w:type="dxa"/>
            <w:vAlign w:val="center"/>
          </w:tcPr>
          <w:p>
            <w:pPr>
              <w:adjustRightInd w:val="0"/>
              <w:jc w:val="center"/>
              <w:rPr>
                <w:rFonts w:ascii="Arial" w:hAnsi="Arial" w:cs="Arial"/>
                <w:kern w:val="0"/>
                <w:szCs w:val="21"/>
              </w:rPr>
            </w:pPr>
            <w:r>
              <w:rPr>
                <w:rFonts w:ascii="Arial" w:hAnsi="Arial" w:cs="Arial"/>
                <w:kern w:val="0"/>
                <w:szCs w:val="21"/>
              </w:rPr>
              <w:t>2</w:t>
            </w:r>
          </w:p>
        </w:tc>
        <w:tc>
          <w:tcPr>
            <w:tcW w:w="1418" w:type="dxa"/>
            <w:vMerge w:val="restart"/>
            <w:vAlign w:val="center"/>
          </w:tcPr>
          <w:p>
            <w:pPr>
              <w:adjustRightInd w:val="0"/>
              <w:jc w:val="left"/>
              <w:rPr>
                <w:rFonts w:ascii="Arial" w:hAnsi="Arial" w:cs="Arial"/>
                <w:kern w:val="0"/>
                <w:szCs w:val="21"/>
              </w:rPr>
            </w:pPr>
            <w:r>
              <w:rPr>
                <w:rFonts w:ascii="Arial" w:hAnsi="Arial" w:cs="Arial"/>
                <w:kern w:val="0"/>
                <w:szCs w:val="21"/>
              </w:rPr>
              <w:t>缴费信息</w:t>
            </w:r>
          </w:p>
        </w:tc>
        <w:tc>
          <w:tcPr>
            <w:tcW w:w="2835" w:type="dxa"/>
            <w:vAlign w:val="center"/>
          </w:tcPr>
          <w:p>
            <w:pPr>
              <w:adjustRightInd w:val="0"/>
              <w:jc w:val="left"/>
              <w:rPr>
                <w:rFonts w:ascii="Arial" w:hAnsi="Arial" w:cs="Arial"/>
                <w:kern w:val="0"/>
                <w:szCs w:val="21"/>
              </w:rPr>
            </w:pPr>
            <w:r>
              <w:rPr>
                <w:rFonts w:ascii="Arial" w:hAnsi="Arial" w:cs="Arial"/>
                <w:kern w:val="0"/>
                <w:szCs w:val="21"/>
              </w:rPr>
              <w:t>单位缴费明细信息</w:t>
            </w:r>
          </w:p>
        </w:tc>
        <w:tc>
          <w:tcPr>
            <w:tcW w:w="3543" w:type="dxa"/>
          </w:tcPr>
          <w:p>
            <w:pPr>
              <w:suppressAutoHyphens/>
              <w:rPr>
                <w:rFonts w:ascii="Arial" w:hAnsi="Arial" w:cs="Arial"/>
                <w:kern w:val="0"/>
                <w:szCs w:val="21"/>
              </w:rPr>
            </w:pPr>
            <w:r>
              <w:rPr>
                <w:rFonts w:ascii="Arial" w:hAnsi="Arial" w:cs="Arial"/>
                <w:kern w:val="0"/>
                <w:szCs w:val="21"/>
              </w:rPr>
              <w:t>单笔业务实时，批量业务按天定时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51" w:type="dxa"/>
            <w:vAlign w:val="center"/>
          </w:tcPr>
          <w:p>
            <w:pPr>
              <w:adjustRightInd w:val="0"/>
              <w:jc w:val="center"/>
              <w:rPr>
                <w:rFonts w:ascii="Arial" w:hAnsi="Arial" w:cs="Arial"/>
                <w:kern w:val="0"/>
                <w:szCs w:val="21"/>
              </w:rPr>
            </w:pPr>
            <w:r>
              <w:rPr>
                <w:rFonts w:ascii="Arial" w:hAnsi="Arial" w:cs="Arial"/>
                <w:kern w:val="0"/>
                <w:szCs w:val="21"/>
              </w:rPr>
              <w:t>3</w:t>
            </w:r>
          </w:p>
        </w:tc>
        <w:tc>
          <w:tcPr>
            <w:tcW w:w="1418" w:type="dxa"/>
            <w:vMerge w:val="continue"/>
            <w:vAlign w:val="center"/>
          </w:tcPr>
          <w:p>
            <w:pPr>
              <w:adjustRightInd w:val="0"/>
              <w:jc w:val="left"/>
              <w:rPr>
                <w:rFonts w:ascii="Arial" w:hAnsi="Arial" w:cs="Arial"/>
                <w:kern w:val="0"/>
                <w:szCs w:val="21"/>
              </w:rPr>
            </w:pPr>
          </w:p>
        </w:tc>
        <w:tc>
          <w:tcPr>
            <w:tcW w:w="2835" w:type="dxa"/>
            <w:vAlign w:val="center"/>
          </w:tcPr>
          <w:p>
            <w:pPr>
              <w:adjustRightInd w:val="0"/>
              <w:jc w:val="left"/>
              <w:rPr>
                <w:rFonts w:ascii="Arial" w:hAnsi="Arial" w:cs="Arial"/>
                <w:kern w:val="0"/>
                <w:szCs w:val="21"/>
              </w:rPr>
            </w:pPr>
            <w:r>
              <w:rPr>
                <w:rFonts w:ascii="Arial" w:hAnsi="Arial" w:cs="Arial"/>
                <w:kern w:val="0"/>
                <w:szCs w:val="21"/>
              </w:rPr>
              <w:t>职工个人缴费明细信息</w:t>
            </w:r>
          </w:p>
        </w:tc>
        <w:tc>
          <w:tcPr>
            <w:tcW w:w="3543" w:type="dxa"/>
          </w:tcPr>
          <w:p>
            <w:pPr>
              <w:suppressAutoHyphens/>
              <w:rPr>
                <w:rFonts w:ascii="Arial" w:hAnsi="Arial" w:cs="Arial"/>
                <w:kern w:val="0"/>
                <w:szCs w:val="21"/>
              </w:rPr>
            </w:pPr>
            <w:r>
              <w:rPr>
                <w:rFonts w:ascii="Arial" w:hAnsi="Arial" w:cs="Arial"/>
                <w:kern w:val="0"/>
                <w:szCs w:val="21"/>
              </w:rPr>
              <w:t>单笔业务实时，批量业务按天定时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51" w:type="dxa"/>
            <w:vAlign w:val="center"/>
          </w:tcPr>
          <w:p>
            <w:pPr>
              <w:adjustRightInd w:val="0"/>
              <w:jc w:val="center"/>
              <w:rPr>
                <w:rFonts w:ascii="Arial" w:hAnsi="Arial" w:cs="Arial"/>
                <w:kern w:val="0"/>
                <w:szCs w:val="21"/>
              </w:rPr>
            </w:pPr>
            <w:r>
              <w:rPr>
                <w:rFonts w:ascii="Arial" w:hAnsi="Arial" w:cs="Arial"/>
                <w:kern w:val="0"/>
                <w:szCs w:val="21"/>
              </w:rPr>
              <w:t>4</w:t>
            </w:r>
          </w:p>
        </w:tc>
        <w:tc>
          <w:tcPr>
            <w:tcW w:w="1418" w:type="dxa"/>
            <w:vMerge w:val="continue"/>
            <w:vAlign w:val="center"/>
          </w:tcPr>
          <w:p>
            <w:pPr>
              <w:adjustRightInd w:val="0"/>
              <w:jc w:val="left"/>
              <w:rPr>
                <w:rFonts w:ascii="Arial" w:hAnsi="Arial" w:cs="Arial"/>
                <w:kern w:val="0"/>
                <w:szCs w:val="21"/>
              </w:rPr>
            </w:pPr>
          </w:p>
        </w:tc>
        <w:tc>
          <w:tcPr>
            <w:tcW w:w="2835" w:type="dxa"/>
            <w:vAlign w:val="center"/>
          </w:tcPr>
          <w:p>
            <w:pPr>
              <w:adjustRightInd w:val="0"/>
              <w:jc w:val="left"/>
              <w:rPr>
                <w:rFonts w:ascii="Arial" w:hAnsi="Arial" w:cs="Arial"/>
                <w:kern w:val="0"/>
                <w:szCs w:val="21"/>
              </w:rPr>
            </w:pPr>
            <w:r>
              <w:rPr>
                <w:rFonts w:ascii="Arial" w:hAnsi="Arial" w:cs="Arial"/>
                <w:kern w:val="0"/>
                <w:szCs w:val="21"/>
              </w:rPr>
              <w:t>城乡居民缴费明细信息</w:t>
            </w:r>
          </w:p>
        </w:tc>
        <w:tc>
          <w:tcPr>
            <w:tcW w:w="3543" w:type="dxa"/>
          </w:tcPr>
          <w:p>
            <w:pPr>
              <w:suppressAutoHyphens/>
              <w:rPr>
                <w:rFonts w:ascii="Arial" w:hAnsi="Arial" w:cs="Arial"/>
                <w:kern w:val="0"/>
                <w:szCs w:val="21"/>
              </w:rPr>
            </w:pPr>
            <w:r>
              <w:rPr>
                <w:rFonts w:ascii="Arial" w:hAnsi="Arial" w:cs="Arial"/>
                <w:kern w:val="0"/>
                <w:szCs w:val="21"/>
              </w:rPr>
              <w:t>单笔业务实时，批量业务按天定时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51" w:type="dxa"/>
            <w:vAlign w:val="center"/>
          </w:tcPr>
          <w:p>
            <w:pPr>
              <w:adjustRightInd w:val="0"/>
              <w:jc w:val="center"/>
              <w:rPr>
                <w:rFonts w:ascii="Arial" w:hAnsi="Arial" w:cs="Arial"/>
                <w:kern w:val="0"/>
                <w:szCs w:val="21"/>
              </w:rPr>
            </w:pPr>
            <w:r>
              <w:rPr>
                <w:rFonts w:ascii="Arial" w:hAnsi="Arial" w:cs="Arial"/>
                <w:kern w:val="0"/>
                <w:szCs w:val="21"/>
              </w:rPr>
              <w:t>5</w:t>
            </w:r>
          </w:p>
        </w:tc>
        <w:tc>
          <w:tcPr>
            <w:tcW w:w="1418" w:type="dxa"/>
            <w:vMerge w:val="continue"/>
            <w:vAlign w:val="center"/>
          </w:tcPr>
          <w:p>
            <w:pPr>
              <w:adjustRightInd w:val="0"/>
              <w:jc w:val="left"/>
              <w:rPr>
                <w:rFonts w:ascii="Arial" w:hAnsi="Arial" w:cs="Arial"/>
                <w:kern w:val="0"/>
                <w:szCs w:val="21"/>
              </w:rPr>
            </w:pPr>
          </w:p>
        </w:tc>
        <w:tc>
          <w:tcPr>
            <w:tcW w:w="2835" w:type="dxa"/>
            <w:vAlign w:val="center"/>
          </w:tcPr>
          <w:p>
            <w:pPr>
              <w:adjustRightInd w:val="0"/>
              <w:jc w:val="left"/>
              <w:rPr>
                <w:rFonts w:ascii="Arial" w:hAnsi="Arial" w:cs="Arial"/>
                <w:kern w:val="0"/>
                <w:szCs w:val="21"/>
              </w:rPr>
            </w:pPr>
            <w:r>
              <w:rPr>
                <w:rFonts w:ascii="Arial" w:hAnsi="Arial" w:cs="Arial"/>
                <w:kern w:val="0"/>
                <w:szCs w:val="21"/>
              </w:rPr>
              <w:t>灵活就业人员缴费明细信息</w:t>
            </w:r>
          </w:p>
        </w:tc>
        <w:tc>
          <w:tcPr>
            <w:tcW w:w="3543" w:type="dxa"/>
          </w:tcPr>
          <w:p>
            <w:pPr>
              <w:suppressAutoHyphens/>
              <w:rPr>
                <w:rFonts w:ascii="Arial" w:hAnsi="Arial" w:cs="Arial"/>
                <w:kern w:val="0"/>
                <w:szCs w:val="21"/>
              </w:rPr>
            </w:pPr>
            <w:r>
              <w:rPr>
                <w:rFonts w:ascii="Arial" w:hAnsi="Arial" w:cs="Arial"/>
                <w:kern w:val="0"/>
                <w:szCs w:val="21"/>
              </w:rPr>
              <w:t>单笔业务实时，批量业务按天定时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51" w:type="dxa"/>
            <w:vAlign w:val="center"/>
          </w:tcPr>
          <w:p>
            <w:pPr>
              <w:adjustRightInd w:val="0"/>
              <w:jc w:val="center"/>
              <w:rPr>
                <w:rFonts w:ascii="Arial" w:hAnsi="Arial" w:cs="Arial"/>
                <w:kern w:val="0"/>
                <w:szCs w:val="21"/>
              </w:rPr>
            </w:pPr>
            <w:r>
              <w:rPr>
                <w:rFonts w:ascii="Arial" w:hAnsi="Arial" w:cs="Arial"/>
                <w:kern w:val="0"/>
                <w:szCs w:val="21"/>
              </w:rPr>
              <w:t>6</w:t>
            </w:r>
          </w:p>
        </w:tc>
        <w:tc>
          <w:tcPr>
            <w:tcW w:w="1418" w:type="dxa"/>
            <w:vAlign w:val="center"/>
          </w:tcPr>
          <w:p>
            <w:pPr>
              <w:adjustRightInd w:val="0"/>
              <w:jc w:val="left"/>
              <w:rPr>
                <w:rFonts w:ascii="Arial" w:hAnsi="Arial" w:cs="Arial"/>
                <w:kern w:val="0"/>
                <w:szCs w:val="21"/>
              </w:rPr>
            </w:pPr>
            <w:r>
              <w:rPr>
                <w:rFonts w:ascii="Arial" w:hAnsi="Arial" w:cs="Arial"/>
                <w:kern w:val="0"/>
                <w:szCs w:val="21"/>
              </w:rPr>
              <w:t>对账信息</w:t>
            </w:r>
          </w:p>
        </w:tc>
        <w:tc>
          <w:tcPr>
            <w:tcW w:w="2835" w:type="dxa"/>
            <w:vAlign w:val="center"/>
          </w:tcPr>
          <w:p>
            <w:pPr>
              <w:adjustRightInd w:val="0"/>
              <w:jc w:val="left"/>
              <w:rPr>
                <w:rFonts w:ascii="Arial" w:hAnsi="Arial" w:cs="Arial"/>
                <w:kern w:val="0"/>
                <w:szCs w:val="21"/>
              </w:rPr>
            </w:pPr>
            <w:r>
              <w:rPr>
                <w:rFonts w:ascii="Arial" w:hAnsi="Arial" w:cs="Arial"/>
                <w:kern w:val="0"/>
                <w:szCs w:val="21"/>
              </w:rPr>
              <w:t>社保费对账信息</w:t>
            </w:r>
          </w:p>
        </w:tc>
        <w:tc>
          <w:tcPr>
            <w:tcW w:w="3543" w:type="dxa"/>
          </w:tcPr>
          <w:p>
            <w:pPr>
              <w:adjustRightInd w:val="0"/>
              <w:jc w:val="left"/>
              <w:rPr>
                <w:rFonts w:ascii="Arial" w:hAnsi="Arial" w:cs="Arial"/>
                <w:kern w:val="0"/>
                <w:szCs w:val="21"/>
              </w:rPr>
            </w:pPr>
            <w:r>
              <w:rPr>
                <w:rFonts w:ascii="Arial" w:hAnsi="Arial" w:cs="Arial"/>
                <w:kern w:val="0"/>
                <w:szCs w:val="21"/>
              </w:rPr>
              <w:t>定时（按天）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51" w:type="dxa"/>
            <w:vAlign w:val="center"/>
          </w:tcPr>
          <w:p>
            <w:pPr>
              <w:adjustRightInd w:val="0"/>
              <w:jc w:val="center"/>
              <w:rPr>
                <w:rFonts w:ascii="Arial" w:hAnsi="Arial" w:cs="Arial"/>
                <w:kern w:val="0"/>
                <w:szCs w:val="21"/>
              </w:rPr>
            </w:pPr>
            <w:r>
              <w:rPr>
                <w:rFonts w:ascii="Arial" w:hAnsi="Arial" w:cs="Arial"/>
                <w:kern w:val="0"/>
                <w:szCs w:val="21"/>
              </w:rPr>
              <w:t>7</w:t>
            </w:r>
          </w:p>
        </w:tc>
        <w:tc>
          <w:tcPr>
            <w:tcW w:w="1418" w:type="dxa"/>
            <w:vAlign w:val="center"/>
          </w:tcPr>
          <w:p>
            <w:pPr>
              <w:adjustRightInd w:val="0"/>
              <w:jc w:val="left"/>
              <w:rPr>
                <w:rFonts w:ascii="Arial" w:hAnsi="Arial" w:cs="Arial"/>
                <w:kern w:val="0"/>
                <w:szCs w:val="21"/>
              </w:rPr>
            </w:pPr>
            <w:r>
              <w:rPr>
                <w:rFonts w:ascii="Arial" w:hAnsi="Arial" w:cs="Arial"/>
                <w:kern w:val="0"/>
                <w:szCs w:val="21"/>
              </w:rPr>
              <w:t>特殊缴费业务信息</w:t>
            </w:r>
          </w:p>
        </w:tc>
        <w:tc>
          <w:tcPr>
            <w:tcW w:w="2835" w:type="dxa"/>
            <w:vAlign w:val="center"/>
          </w:tcPr>
          <w:p>
            <w:pPr>
              <w:adjustRightInd w:val="0"/>
              <w:jc w:val="left"/>
              <w:rPr>
                <w:rFonts w:ascii="Arial" w:hAnsi="Arial" w:cs="Arial"/>
                <w:kern w:val="0"/>
                <w:szCs w:val="21"/>
              </w:rPr>
            </w:pPr>
            <w:r>
              <w:rPr>
                <w:rFonts w:ascii="Arial" w:hAnsi="Arial" w:cs="Arial"/>
                <w:kern w:val="0"/>
                <w:szCs w:val="21"/>
              </w:rPr>
              <w:t>特殊缴费业务入库反馈</w:t>
            </w:r>
          </w:p>
        </w:tc>
        <w:tc>
          <w:tcPr>
            <w:tcW w:w="3543" w:type="dxa"/>
          </w:tcPr>
          <w:p>
            <w:pPr>
              <w:suppressAutoHyphens/>
              <w:rPr>
                <w:rFonts w:ascii="Arial" w:hAnsi="Arial" w:cs="Arial"/>
                <w:kern w:val="0"/>
                <w:szCs w:val="21"/>
              </w:rPr>
            </w:pPr>
            <w:r>
              <w:rPr>
                <w:rFonts w:ascii="Arial" w:hAnsi="Arial" w:cs="Arial"/>
                <w:kern w:val="0"/>
                <w:szCs w:val="21"/>
              </w:rPr>
              <w:t>单笔业务实时，批量业务按天定时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51" w:type="dxa"/>
            <w:vAlign w:val="center"/>
          </w:tcPr>
          <w:p>
            <w:pPr>
              <w:adjustRightInd w:val="0"/>
              <w:jc w:val="center"/>
              <w:rPr>
                <w:rFonts w:ascii="Arial" w:hAnsi="Arial" w:cs="Arial"/>
                <w:kern w:val="0"/>
                <w:szCs w:val="21"/>
              </w:rPr>
            </w:pPr>
            <w:r>
              <w:rPr>
                <w:rFonts w:ascii="Arial" w:hAnsi="Arial" w:cs="Arial"/>
                <w:kern w:val="0"/>
                <w:szCs w:val="21"/>
              </w:rPr>
              <w:t>8</w:t>
            </w:r>
          </w:p>
        </w:tc>
        <w:tc>
          <w:tcPr>
            <w:tcW w:w="1418" w:type="dxa"/>
            <w:vMerge w:val="restart"/>
            <w:vAlign w:val="center"/>
          </w:tcPr>
          <w:p>
            <w:pPr>
              <w:adjustRightInd w:val="0"/>
              <w:jc w:val="left"/>
              <w:rPr>
                <w:rFonts w:ascii="Arial" w:hAnsi="Arial" w:cs="Arial"/>
                <w:kern w:val="0"/>
                <w:szCs w:val="21"/>
              </w:rPr>
            </w:pPr>
            <w:r>
              <w:rPr>
                <w:rFonts w:ascii="Arial" w:hAnsi="Arial" w:cs="Arial"/>
                <w:kern w:val="0"/>
                <w:szCs w:val="21"/>
              </w:rPr>
              <w:t>退费信息</w:t>
            </w:r>
          </w:p>
          <w:p>
            <w:pPr>
              <w:adjustRightInd w:val="0"/>
              <w:jc w:val="left"/>
              <w:rPr>
                <w:rFonts w:ascii="Arial" w:hAnsi="Arial" w:cs="Arial"/>
                <w:kern w:val="0"/>
                <w:szCs w:val="21"/>
              </w:rPr>
            </w:pPr>
            <w:r>
              <w:rPr>
                <w:rFonts w:ascii="Arial" w:hAnsi="Arial" w:cs="Arial"/>
                <w:kern w:val="0"/>
                <w:szCs w:val="21"/>
              </w:rPr>
              <w:t>退费信息</w:t>
            </w:r>
          </w:p>
        </w:tc>
        <w:tc>
          <w:tcPr>
            <w:tcW w:w="2835" w:type="dxa"/>
            <w:vAlign w:val="center"/>
          </w:tcPr>
          <w:p>
            <w:pPr>
              <w:adjustRightInd w:val="0"/>
              <w:jc w:val="left"/>
              <w:rPr>
                <w:rFonts w:ascii="Arial" w:hAnsi="Arial" w:cs="Arial"/>
                <w:kern w:val="0"/>
                <w:szCs w:val="21"/>
              </w:rPr>
            </w:pPr>
            <w:r>
              <w:rPr>
                <w:rFonts w:ascii="Arial" w:hAnsi="Arial" w:cs="Arial"/>
                <w:kern w:val="0"/>
                <w:szCs w:val="21"/>
              </w:rPr>
              <w:t>社保费退费申请和初核</w:t>
            </w:r>
          </w:p>
        </w:tc>
        <w:tc>
          <w:tcPr>
            <w:tcW w:w="3543" w:type="dxa"/>
          </w:tcPr>
          <w:p>
            <w:pPr>
              <w:suppressAutoHyphens/>
              <w:rPr>
                <w:rFonts w:ascii="Arial" w:hAnsi="Arial" w:cs="Arial"/>
                <w:kern w:val="0"/>
                <w:szCs w:val="21"/>
              </w:rPr>
            </w:pPr>
            <w:r>
              <w:rPr>
                <w:rFonts w:ascii="Arial" w:hAnsi="Arial" w:cs="Arial"/>
                <w:kern w:val="0"/>
                <w:szCs w:val="21"/>
              </w:rPr>
              <w:t>单笔业务实时，批量业务按天定时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51" w:type="dxa"/>
            <w:vAlign w:val="center"/>
          </w:tcPr>
          <w:p>
            <w:pPr>
              <w:adjustRightInd w:val="0"/>
              <w:jc w:val="center"/>
              <w:rPr>
                <w:rFonts w:ascii="Arial" w:hAnsi="Arial" w:cs="Arial"/>
                <w:kern w:val="0"/>
                <w:szCs w:val="21"/>
              </w:rPr>
            </w:pPr>
            <w:r>
              <w:rPr>
                <w:rFonts w:ascii="Arial" w:hAnsi="Arial" w:cs="Arial"/>
                <w:kern w:val="0"/>
                <w:szCs w:val="21"/>
              </w:rPr>
              <w:t>9</w:t>
            </w:r>
          </w:p>
        </w:tc>
        <w:tc>
          <w:tcPr>
            <w:tcW w:w="1418" w:type="dxa"/>
            <w:vMerge w:val="continue"/>
            <w:vAlign w:val="center"/>
          </w:tcPr>
          <w:p>
            <w:pPr>
              <w:adjustRightInd w:val="0"/>
              <w:jc w:val="left"/>
              <w:rPr>
                <w:rFonts w:ascii="Arial" w:hAnsi="Arial" w:cs="Arial"/>
                <w:kern w:val="0"/>
                <w:szCs w:val="21"/>
              </w:rPr>
            </w:pPr>
          </w:p>
        </w:tc>
        <w:tc>
          <w:tcPr>
            <w:tcW w:w="2835" w:type="dxa"/>
            <w:vAlign w:val="center"/>
          </w:tcPr>
          <w:p>
            <w:pPr>
              <w:adjustRightInd w:val="0"/>
              <w:jc w:val="left"/>
              <w:rPr>
                <w:rFonts w:ascii="Arial" w:hAnsi="Arial" w:cs="Arial"/>
                <w:kern w:val="0"/>
                <w:szCs w:val="21"/>
              </w:rPr>
            </w:pPr>
            <w:r>
              <w:rPr>
                <w:rFonts w:ascii="Arial" w:hAnsi="Arial" w:cs="Arial"/>
                <w:kern w:val="0"/>
                <w:szCs w:val="21"/>
              </w:rPr>
              <w:t>社保费退费账户更正</w:t>
            </w:r>
          </w:p>
        </w:tc>
        <w:tc>
          <w:tcPr>
            <w:tcW w:w="3543" w:type="dxa"/>
          </w:tcPr>
          <w:p>
            <w:pPr>
              <w:suppressAutoHyphens/>
              <w:rPr>
                <w:rFonts w:ascii="Arial" w:hAnsi="Arial" w:cs="Arial"/>
                <w:kern w:val="0"/>
                <w:szCs w:val="21"/>
              </w:rPr>
            </w:pPr>
            <w:r>
              <w:rPr>
                <w:rFonts w:ascii="Arial" w:hAnsi="Arial" w:cs="Arial"/>
                <w:kern w:val="0"/>
                <w:szCs w:val="21"/>
              </w:rPr>
              <w:t>单笔业务实时，批量业务按天定时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51" w:type="dxa"/>
            <w:vAlign w:val="center"/>
          </w:tcPr>
          <w:p>
            <w:pPr>
              <w:adjustRightInd w:val="0"/>
              <w:jc w:val="center"/>
              <w:rPr>
                <w:rFonts w:ascii="Arial" w:hAnsi="Arial" w:cs="Arial"/>
                <w:kern w:val="0"/>
                <w:szCs w:val="21"/>
              </w:rPr>
            </w:pPr>
            <w:r>
              <w:rPr>
                <w:rFonts w:ascii="Arial" w:hAnsi="Arial" w:cs="Arial"/>
                <w:kern w:val="0"/>
                <w:szCs w:val="21"/>
              </w:rPr>
              <w:t>10</w:t>
            </w:r>
          </w:p>
        </w:tc>
        <w:tc>
          <w:tcPr>
            <w:tcW w:w="1418" w:type="dxa"/>
            <w:vAlign w:val="center"/>
          </w:tcPr>
          <w:p>
            <w:pPr>
              <w:adjustRightInd w:val="0"/>
              <w:jc w:val="left"/>
              <w:rPr>
                <w:rFonts w:ascii="Arial" w:hAnsi="Arial" w:cs="Arial"/>
                <w:kern w:val="0"/>
                <w:szCs w:val="21"/>
              </w:rPr>
            </w:pPr>
            <w:r>
              <w:rPr>
                <w:rFonts w:ascii="Arial" w:hAnsi="Arial" w:cs="Arial"/>
                <w:kern w:val="0"/>
                <w:szCs w:val="21"/>
              </w:rPr>
              <w:t>欠费信息</w:t>
            </w:r>
          </w:p>
        </w:tc>
        <w:tc>
          <w:tcPr>
            <w:tcW w:w="2835" w:type="dxa"/>
            <w:vAlign w:val="center"/>
          </w:tcPr>
          <w:p>
            <w:pPr>
              <w:adjustRightInd w:val="0"/>
              <w:jc w:val="left"/>
              <w:rPr>
                <w:rFonts w:ascii="Arial" w:hAnsi="Arial" w:cs="Arial"/>
                <w:kern w:val="0"/>
                <w:szCs w:val="21"/>
              </w:rPr>
            </w:pPr>
            <w:r>
              <w:rPr>
                <w:rFonts w:ascii="Arial" w:hAnsi="Arial" w:cs="Arial"/>
                <w:kern w:val="0"/>
                <w:szCs w:val="21"/>
              </w:rPr>
              <w:t>社保费欠费信息</w:t>
            </w:r>
          </w:p>
        </w:tc>
        <w:tc>
          <w:tcPr>
            <w:tcW w:w="3543" w:type="dxa"/>
          </w:tcPr>
          <w:p>
            <w:pPr>
              <w:adjustRightInd w:val="0"/>
              <w:jc w:val="left"/>
              <w:rPr>
                <w:rFonts w:ascii="Arial" w:hAnsi="Arial" w:cs="Arial"/>
                <w:kern w:val="0"/>
                <w:szCs w:val="21"/>
              </w:rPr>
            </w:pPr>
            <w:r>
              <w:rPr>
                <w:rFonts w:ascii="Arial" w:hAnsi="Arial" w:cs="Arial"/>
                <w:kern w:val="0"/>
                <w:szCs w:val="21"/>
              </w:rPr>
              <w:t>定时（按月）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51" w:type="dxa"/>
            <w:vAlign w:val="center"/>
          </w:tcPr>
          <w:p>
            <w:pPr>
              <w:adjustRightInd w:val="0"/>
              <w:jc w:val="center"/>
              <w:rPr>
                <w:rFonts w:ascii="Arial" w:hAnsi="Arial" w:cs="Arial"/>
                <w:kern w:val="0"/>
                <w:szCs w:val="21"/>
              </w:rPr>
            </w:pPr>
            <w:r>
              <w:rPr>
                <w:rFonts w:ascii="Arial" w:hAnsi="Arial" w:cs="Arial"/>
                <w:kern w:val="0"/>
                <w:szCs w:val="21"/>
              </w:rPr>
              <w:t>11</w:t>
            </w:r>
          </w:p>
        </w:tc>
        <w:tc>
          <w:tcPr>
            <w:tcW w:w="1418" w:type="dxa"/>
            <w:vMerge w:val="restart"/>
            <w:vAlign w:val="center"/>
          </w:tcPr>
          <w:p>
            <w:pPr>
              <w:adjustRightInd w:val="0"/>
              <w:jc w:val="left"/>
              <w:rPr>
                <w:rFonts w:ascii="Arial" w:hAnsi="Arial" w:cs="Arial"/>
                <w:kern w:val="0"/>
                <w:szCs w:val="21"/>
              </w:rPr>
            </w:pPr>
            <w:r>
              <w:rPr>
                <w:rFonts w:ascii="Arial" w:hAnsi="Arial" w:cs="Arial"/>
                <w:kern w:val="0"/>
                <w:szCs w:val="21"/>
              </w:rPr>
              <w:t>税务登记信息</w:t>
            </w:r>
          </w:p>
        </w:tc>
        <w:tc>
          <w:tcPr>
            <w:tcW w:w="2835" w:type="dxa"/>
            <w:vAlign w:val="center"/>
          </w:tcPr>
          <w:p>
            <w:pPr>
              <w:adjustRightInd w:val="0"/>
              <w:jc w:val="left"/>
              <w:rPr>
                <w:rFonts w:ascii="Arial" w:hAnsi="Arial" w:cs="Arial"/>
                <w:kern w:val="0"/>
                <w:szCs w:val="21"/>
              </w:rPr>
            </w:pPr>
            <w:r>
              <w:rPr>
                <w:rFonts w:ascii="Arial" w:hAnsi="Arial" w:cs="Arial"/>
                <w:kern w:val="0"/>
                <w:szCs w:val="21"/>
              </w:rPr>
              <w:t>税务登记单位数据</w:t>
            </w:r>
          </w:p>
        </w:tc>
        <w:tc>
          <w:tcPr>
            <w:tcW w:w="3543" w:type="dxa"/>
          </w:tcPr>
          <w:p>
            <w:pPr>
              <w:adjustRightInd w:val="0"/>
              <w:jc w:val="left"/>
              <w:rPr>
                <w:rFonts w:ascii="Arial" w:hAnsi="Arial" w:cs="Arial"/>
                <w:kern w:val="0"/>
                <w:szCs w:val="21"/>
              </w:rPr>
            </w:pPr>
            <w:r>
              <w:rPr>
                <w:rFonts w:ascii="Arial" w:hAnsi="Arial" w:cs="Arial"/>
                <w:kern w:val="0"/>
                <w:szCs w:val="21"/>
              </w:rPr>
              <w:t>按天定时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51" w:type="dxa"/>
            <w:vAlign w:val="center"/>
          </w:tcPr>
          <w:p>
            <w:pPr>
              <w:adjustRightInd w:val="0"/>
              <w:jc w:val="center"/>
              <w:rPr>
                <w:rFonts w:ascii="Arial" w:hAnsi="Arial" w:cs="Arial"/>
                <w:kern w:val="0"/>
                <w:szCs w:val="21"/>
              </w:rPr>
            </w:pPr>
            <w:r>
              <w:rPr>
                <w:rFonts w:ascii="Arial" w:hAnsi="Arial" w:cs="Arial"/>
                <w:kern w:val="0"/>
                <w:szCs w:val="21"/>
              </w:rPr>
              <w:t>12</w:t>
            </w:r>
          </w:p>
        </w:tc>
        <w:tc>
          <w:tcPr>
            <w:tcW w:w="1418" w:type="dxa"/>
            <w:vMerge w:val="continue"/>
            <w:vAlign w:val="center"/>
          </w:tcPr>
          <w:p>
            <w:pPr>
              <w:adjustRightInd w:val="0"/>
              <w:jc w:val="left"/>
              <w:rPr>
                <w:rFonts w:ascii="Arial" w:hAnsi="Arial" w:cs="Arial"/>
                <w:kern w:val="0"/>
                <w:szCs w:val="21"/>
              </w:rPr>
            </w:pPr>
          </w:p>
        </w:tc>
        <w:tc>
          <w:tcPr>
            <w:tcW w:w="2835" w:type="dxa"/>
            <w:vAlign w:val="center"/>
          </w:tcPr>
          <w:p>
            <w:pPr>
              <w:adjustRightInd w:val="0"/>
              <w:jc w:val="left"/>
              <w:rPr>
                <w:rFonts w:ascii="Arial" w:hAnsi="Arial" w:cs="Arial"/>
                <w:kern w:val="0"/>
                <w:szCs w:val="21"/>
              </w:rPr>
            </w:pPr>
            <w:r>
              <w:rPr>
                <w:rFonts w:ascii="Arial" w:hAnsi="Arial" w:cs="Arial"/>
                <w:kern w:val="0"/>
                <w:szCs w:val="21"/>
              </w:rPr>
              <w:t>税务登记个人数据</w:t>
            </w:r>
          </w:p>
        </w:tc>
        <w:tc>
          <w:tcPr>
            <w:tcW w:w="3543" w:type="dxa"/>
          </w:tcPr>
          <w:p>
            <w:pPr>
              <w:adjustRightInd w:val="0"/>
              <w:jc w:val="left"/>
              <w:rPr>
                <w:rFonts w:ascii="Arial" w:hAnsi="Arial" w:cs="Arial"/>
                <w:kern w:val="0"/>
                <w:szCs w:val="21"/>
              </w:rPr>
            </w:pPr>
            <w:r>
              <w:rPr>
                <w:rFonts w:ascii="Arial" w:hAnsi="Arial" w:cs="Arial"/>
                <w:kern w:val="0"/>
                <w:szCs w:val="21"/>
              </w:rPr>
              <w:t>按天定时</w:t>
            </w:r>
          </w:p>
        </w:tc>
      </w:tr>
    </w:tbl>
    <w:p>
      <w:pPr>
        <w:spacing w:line="360" w:lineRule="auto"/>
        <w:ind w:firstLine="480" w:firstLineChars="200"/>
        <w:rPr>
          <w:rFonts w:ascii="Arial" w:hAnsi="Arial" w:cs="Arial"/>
          <w:color w:val="000000"/>
          <w:sz w:val="24"/>
        </w:rPr>
      </w:pPr>
      <w:r>
        <w:rPr>
          <w:rFonts w:ascii="Arial" w:hAnsi="Arial" w:cs="Arial"/>
          <w:color w:val="000000"/>
          <w:sz w:val="24"/>
        </w:rPr>
        <w:t>税银系统建设范围</w:t>
      </w:r>
    </w:p>
    <w:tbl>
      <w:tblPr>
        <w:tblStyle w:val="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7"/>
        <w:gridCol w:w="1519"/>
        <w:gridCol w:w="3117"/>
        <w:gridCol w:w="1703"/>
        <w:gridCol w:w="14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421" w:type="pct"/>
            <w:shd w:val="clear" w:color="000000" w:fill="D9D9D9"/>
            <w:noWrap/>
            <w:vAlign w:val="center"/>
          </w:tcPr>
          <w:p>
            <w:pPr>
              <w:widowControl/>
              <w:suppressAutoHyphens/>
              <w:jc w:val="center"/>
              <w:rPr>
                <w:rFonts w:ascii="Arial" w:hAnsi="Arial" w:cs="Arial"/>
                <w:b/>
                <w:bCs/>
                <w:color w:val="000000"/>
                <w:kern w:val="0"/>
                <w:szCs w:val="21"/>
              </w:rPr>
            </w:pPr>
            <w:r>
              <w:rPr>
                <w:rFonts w:ascii="Arial" w:hAnsi="Arial" w:cs="Arial"/>
                <w:b/>
                <w:bCs/>
                <w:color w:val="000000"/>
                <w:kern w:val="0"/>
                <w:szCs w:val="21"/>
              </w:rPr>
              <w:t>序号</w:t>
            </w:r>
          </w:p>
        </w:tc>
        <w:tc>
          <w:tcPr>
            <w:tcW w:w="891" w:type="pct"/>
            <w:shd w:val="clear" w:color="000000" w:fill="D9D9D9"/>
            <w:noWrap/>
            <w:vAlign w:val="center"/>
          </w:tcPr>
          <w:p>
            <w:pPr>
              <w:widowControl/>
              <w:suppressAutoHyphens/>
              <w:jc w:val="center"/>
              <w:rPr>
                <w:rFonts w:ascii="Arial" w:hAnsi="Arial" w:cs="Arial"/>
                <w:b/>
                <w:bCs/>
                <w:color w:val="000000"/>
                <w:kern w:val="0"/>
                <w:szCs w:val="21"/>
              </w:rPr>
            </w:pPr>
            <w:r>
              <w:rPr>
                <w:rFonts w:ascii="Arial" w:hAnsi="Arial" w:cs="Arial"/>
                <w:b/>
                <w:bCs/>
                <w:color w:val="000000"/>
                <w:kern w:val="0"/>
                <w:szCs w:val="21"/>
              </w:rPr>
              <w:t>业务类型</w:t>
            </w:r>
          </w:p>
        </w:tc>
        <w:tc>
          <w:tcPr>
            <w:tcW w:w="1829" w:type="pct"/>
            <w:shd w:val="clear" w:color="000000" w:fill="D9D9D9"/>
            <w:noWrap/>
            <w:vAlign w:val="center"/>
          </w:tcPr>
          <w:p>
            <w:pPr>
              <w:widowControl/>
              <w:suppressAutoHyphens/>
              <w:jc w:val="center"/>
              <w:rPr>
                <w:rFonts w:ascii="Arial" w:hAnsi="Arial" w:cs="Arial"/>
                <w:b/>
                <w:bCs/>
                <w:color w:val="000000"/>
                <w:kern w:val="0"/>
                <w:szCs w:val="21"/>
              </w:rPr>
            </w:pPr>
            <w:r>
              <w:rPr>
                <w:rFonts w:ascii="Arial" w:hAnsi="Arial" w:cs="Arial"/>
                <w:b/>
                <w:bCs/>
                <w:color w:val="000000"/>
                <w:kern w:val="0"/>
                <w:szCs w:val="21"/>
              </w:rPr>
              <w:t>业务名称</w:t>
            </w:r>
          </w:p>
        </w:tc>
        <w:tc>
          <w:tcPr>
            <w:tcW w:w="999" w:type="pct"/>
            <w:shd w:val="clear" w:color="000000" w:fill="D9D9D9"/>
            <w:noWrap/>
            <w:vAlign w:val="center"/>
          </w:tcPr>
          <w:p>
            <w:pPr>
              <w:widowControl/>
              <w:suppressAutoHyphens/>
              <w:jc w:val="center"/>
              <w:rPr>
                <w:rFonts w:ascii="Arial" w:hAnsi="Arial" w:cs="Arial"/>
                <w:b/>
                <w:bCs/>
                <w:color w:val="000000"/>
                <w:kern w:val="0"/>
                <w:szCs w:val="21"/>
              </w:rPr>
            </w:pPr>
            <w:r>
              <w:rPr>
                <w:rFonts w:ascii="Arial" w:hAnsi="Arial" w:cs="Arial"/>
                <w:b/>
                <w:bCs/>
                <w:color w:val="000000"/>
                <w:kern w:val="0"/>
                <w:szCs w:val="21"/>
              </w:rPr>
              <w:t>请求方</w:t>
            </w:r>
          </w:p>
        </w:tc>
        <w:tc>
          <w:tcPr>
            <w:tcW w:w="860" w:type="pct"/>
            <w:shd w:val="clear" w:color="000000" w:fill="D9D9D9"/>
            <w:noWrap/>
            <w:vAlign w:val="center"/>
          </w:tcPr>
          <w:p>
            <w:pPr>
              <w:widowControl/>
              <w:suppressAutoHyphens/>
              <w:jc w:val="center"/>
              <w:rPr>
                <w:rFonts w:ascii="Arial" w:hAnsi="Arial" w:cs="Arial"/>
                <w:b/>
                <w:bCs/>
                <w:color w:val="000000"/>
                <w:kern w:val="0"/>
                <w:szCs w:val="21"/>
              </w:rPr>
            </w:pPr>
            <w:r>
              <w:rPr>
                <w:rFonts w:ascii="Arial" w:hAnsi="Arial" w:cs="Arial"/>
                <w:b/>
                <w:bCs/>
                <w:color w:val="000000"/>
                <w:kern w:val="0"/>
                <w:szCs w:val="21"/>
              </w:rPr>
              <w:t>响应方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421" w:type="pct"/>
            <w:noWrap/>
            <w:vAlign w:val="center"/>
          </w:tcPr>
          <w:p>
            <w:pPr>
              <w:widowControl/>
              <w:suppressAutoHyphens/>
              <w:jc w:val="center"/>
              <w:rPr>
                <w:rFonts w:ascii="Arial" w:hAnsi="Arial" w:cs="Arial"/>
                <w:kern w:val="0"/>
                <w:szCs w:val="21"/>
              </w:rPr>
            </w:pPr>
            <w:r>
              <w:rPr>
                <w:rFonts w:ascii="Arial" w:hAnsi="Arial" w:cs="Arial"/>
                <w:kern w:val="0"/>
                <w:szCs w:val="21"/>
              </w:rPr>
              <w:t>1</w:t>
            </w:r>
          </w:p>
        </w:tc>
        <w:tc>
          <w:tcPr>
            <w:tcW w:w="891" w:type="pct"/>
            <w:vMerge w:val="restart"/>
            <w:vAlign w:val="center"/>
          </w:tcPr>
          <w:p>
            <w:pPr>
              <w:widowControl/>
              <w:suppressAutoHyphens/>
              <w:jc w:val="center"/>
              <w:rPr>
                <w:rFonts w:ascii="Arial" w:hAnsi="Arial" w:cs="Arial"/>
                <w:kern w:val="0"/>
                <w:szCs w:val="21"/>
              </w:rPr>
            </w:pPr>
            <w:r>
              <w:rPr>
                <w:rFonts w:ascii="Arial" w:hAnsi="Arial" w:cs="Arial"/>
                <w:kern w:val="0"/>
                <w:szCs w:val="21"/>
              </w:rPr>
              <w:t>个人税务批扣缴费业务</w:t>
            </w:r>
          </w:p>
        </w:tc>
        <w:tc>
          <w:tcPr>
            <w:tcW w:w="1829" w:type="pct"/>
            <w:noWrap/>
            <w:vAlign w:val="center"/>
          </w:tcPr>
          <w:p>
            <w:pPr>
              <w:widowControl/>
              <w:suppressAutoHyphens/>
              <w:jc w:val="left"/>
              <w:rPr>
                <w:rFonts w:ascii="Arial" w:hAnsi="Arial" w:cs="Arial"/>
                <w:kern w:val="0"/>
                <w:szCs w:val="21"/>
              </w:rPr>
            </w:pPr>
            <w:r>
              <w:rPr>
                <w:rFonts w:ascii="Arial" w:hAnsi="Arial" w:cs="Arial"/>
                <w:kern w:val="0"/>
                <w:szCs w:val="21"/>
              </w:rPr>
              <w:t>个人税务批扣缴费请求</w:t>
            </w:r>
          </w:p>
        </w:tc>
        <w:tc>
          <w:tcPr>
            <w:tcW w:w="999" w:type="pct"/>
            <w:noWrap/>
            <w:vAlign w:val="center"/>
          </w:tcPr>
          <w:p>
            <w:pPr>
              <w:widowControl/>
              <w:suppressAutoHyphens/>
              <w:jc w:val="left"/>
              <w:rPr>
                <w:rFonts w:ascii="Arial" w:hAnsi="Arial" w:cs="Arial"/>
                <w:kern w:val="0"/>
                <w:szCs w:val="21"/>
              </w:rPr>
            </w:pPr>
            <w:r>
              <w:rPr>
                <w:rFonts w:ascii="Arial" w:hAnsi="Arial" w:cs="Arial"/>
                <w:kern w:val="0"/>
                <w:szCs w:val="21"/>
              </w:rPr>
              <w:t>征收子系统</w:t>
            </w:r>
          </w:p>
        </w:tc>
        <w:tc>
          <w:tcPr>
            <w:tcW w:w="860" w:type="pct"/>
            <w:noWrap/>
            <w:vAlign w:val="center"/>
          </w:tcPr>
          <w:p>
            <w:pPr>
              <w:widowControl/>
              <w:suppressAutoHyphens/>
              <w:jc w:val="left"/>
              <w:rPr>
                <w:rFonts w:ascii="Arial" w:hAnsi="Arial" w:cs="Arial"/>
                <w:kern w:val="0"/>
                <w:szCs w:val="21"/>
              </w:rPr>
            </w:pPr>
            <w:r>
              <w:rPr>
                <w:rFonts w:ascii="Arial" w:hAnsi="Arial" w:cs="Arial"/>
                <w:kern w:val="0"/>
                <w:szCs w:val="21"/>
              </w:rPr>
              <w:t>税库银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421" w:type="pct"/>
            <w:noWrap/>
            <w:vAlign w:val="center"/>
          </w:tcPr>
          <w:p>
            <w:pPr>
              <w:widowControl/>
              <w:suppressAutoHyphens/>
              <w:jc w:val="center"/>
              <w:rPr>
                <w:rFonts w:ascii="Arial" w:hAnsi="Arial" w:cs="Arial"/>
                <w:kern w:val="0"/>
                <w:szCs w:val="21"/>
              </w:rPr>
            </w:pPr>
            <w:r>
              <w:rPr>
                <w:rFonts w:ascii="Arial" w:hAnsi="Arial" w:cs="Arial"/>
                <w:kern w:val="0"/>
                <w:szCs w:val="21"/>
              </w:rPr>
              <w:t>2</w:t>
            </w:r>
          </w:p>
        </w:tc>
        <w:tc>
          <w:tcPr>
            <w:tcW w:w="891" w:type="pct"/>
            <w:vMerge w:val="continue"/>
            <w:vAlign w:val="center"/>
          </w:tcPr>
          <w:p>
            <w:pPr>
              <w:widowControl/>
              <w:suppressAutoHyphens/>
              <w:jc w:val="left"/>
              <w:rPr>
                <w:rFonts w:ascii="Arial" w:hAnsi="Arial" w:cs="Arial"/>
                <w:kern w:val="0"/>
                <w:szCs w:val="21"/>
              </w:rPr>
            </w:pPr>
          </w:p>
        </w:tc>
        <w:tc>
          <w:tcPr>
            <w:tcW w:w="1829" w:type="pct"/>
            <w:noWrap/>
            <w:vAlign w:val="center"/>
          </w:tcPr>
          <w:p>
            <w:pPr>
              <w:widowControl/>
              <w:suppressAutoHyphens/>
              <w:jc w:val="left"/>
              <w:rPr>
                <w:rFonts w:ascii="Arial" w:hAnsi="Arial" w:cs="Arial"/>
                <w:kern w:val="0"/>
                <w:szCs w:val="21"/>
              </w:rPr>
            </w:pPr>
            <w:r>
              <w:rPr>
                <w:rFonts w:ascii="Arial" w:hAnsi="Arial" w:cs="Arial"/>
                <w:kern w:val="0"/>
                <w:szCs w:val="21"/>
              </w:rPr>
              <w:t>个人税务批扣缴费结果回执响应</w:t>
            </w:r>
          </w:p>
        </w:tc>
        <w:tc>
          <w:tcPr>
            <w:tcW w:w="999" w:type="pct"/>
            <w:noWrap/>
            <w:vAlign w:val="center"/>
          </w:tcPr>
          <w:p>
            <w:pPr>
              <w:widowControl/>
              <w:suppressAutoHyphens/>
              <w:jc w:val="left"/>
              <w:rPr>
                <w:rFonts w:ascii="Arial" w:hAnsi="Arial" w:cs="Arial"/>
                <w:kern w:val="0"/>
                <w:szCs w:val="21"/>
              </w:rPr>
            </w:pPr>
            <w:r>
              <w:rPr>
                <w:rFonts w:ascii="Arial" w:hAnsi="Arial" w:cs="Arial"/>
                <w:kern w:val="0"/>
                <w:szCs w:val="21"/>
              </w:rPr>
              <w:t>税银子系统</w:t>
            </w:r>
          </w:p>
        </w:tc>
        <w:tc>
          <w:tcPr>
            <w:tcW w:w="860" w:type="pct"/>
            <w:noWrap/>
            <w:vAlign w:val="center"/>
          </w:tcPr>
          <w:p>
            <w:pPr>
              <w:widowControl/>
              <w:suppressAutoHyphens/>
              <w:jc w:val="left"/>
              <w:rPr>
                <w:rFonts w:ascii="Arial" w:hAnsi="Arial" w:cs="Arial"/>
                <w:kern w:val="0"/>
                <w:szCs w:val="21"/>
              </w:rPr>
            </w:pPr>
            <w:r>
              <w:rPr>
                <w:rFonts w:ascii="Arial" w:hAnsi="Arial" w:cs="Arial"/>
                <w:kern w:val="0"/>
                <w:szCs w:val="21"/>
              </w:rPr>
              <w:t>征收子系统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1" w:hRule="atLeast"/>
        </w:trPr>
        <w:tc>
          <w:tcPr>
            <w:tcW w:w="421" w:type="pct"/>
            <w:noWrap/>
            <w:vAlign w:val="center"/>
          </w:tcPr>
          <w:p>
            <w:pPr>
              <w:widowControl/>
              <w:suppressAutoHyphens/>
              <w:jc w:val="center"/>
              <w:rPr>
                <w:rFonts w:ascii="Arial" w:hAnsi="Arial" w:cs="Arial"/>
                <w:kern w:val="0"/>
                <w:szCs w:val="21"/>
              </w:rPr>
            </w:pPr>
            <w:r>
              <w:rPr>
                <w:rFonts w:ascii="Arial" w:hAnsi="Arial" w:cs="Arial"/>
                <w:kern w:val="0"/>
                <w:szCs w:val="21"/>
              </w:rPr>
              <w:t>3</w:t>
            </w:r>
          </w:p>
        </w:tc>
        <w:tc>
          <w:tcPr>
            <w:tcW w:w="891" w:type="pct"/>
            <w:vMerge w:val="restart"/>
            <w:vAlign w:val="center"/>
          </w:tcPr>
          <w:p>
            <w:pPr>
              <w:widowControl/>
              <w:suppressAutoHyphens/>
              <w:jc w:val="center"/>
              <w:rPr>
                <w:rFonts w:ascii="Arial" w:hAnsi="Arial" w:cs="Arial"/>
                <w:kern w:val="0"/>
                <w:szCs w:val="21"/>
              </w:rPr>
            </w:pPr>
            <w:r>
              <w:rPr>
                <w:rFonts w:ascii="Arial" w:hAnsi="Arial" w:cs="Arial"/>
                <w:kern w:val="0"/>
                <w:szCs w:val="21"/>
              </w:rPr>
              <w:t>个人银行缴费业务</w:t>
            </w:r>
          </w:p>
        </w:tc>
        <w:tc>
          <w:tcPr>
            <w:tcW w:w="1829" w:type="pct"/>
            <w:noWrap/>
            <w:vAlign w:val="center"/>
          </w:tcPr>
          <w:p>
            <w:pPr>
              <w:widowControl/>
              <w:suppressAutoHyphens/>
              <w:jc w:val="left"/>
              <w:rPr>
                <w:rFonts w:ascii="Arial" w:hAnsi="Arial" w:cs="Arial"/>
                <w:kern w:val="0"/>
                <w:szCs w:val="21"/>
              </w:rPr>
            </w:pPr>
            <w:r>
              <w:rPr>
                <w:rFonts w:ascii="Arial" w:hAnsi="Arial" w:cs="Arial"/>
                <w:kern w:val="0"/>
                <w:szCs w:val="21"/>
              </w:rPr>
              <w:t>个人银行缴费参保查询请求</w:t>
            </w:r>
          </w:p>
        </w:tc>
        <w:tc>
          <w:tcPr>
            <w:tcW w:w="999" w:type="pct"/>
            <w:noWrap/>
            <w:vAlign w:val="center"/>
          </w:tcPr>
          <w:p>
            <w:pPr>
              <w:widowControl/>
              <w:suppressAutoHyphens/>
              <w:jc w:val="left"/>
              <w:rPr>
                <w:rFonts w:ascii="Arial" w:hAnsi="Arial" w:cs="Arial"/>
                <w:kern w:val="0"/>
                <w:szCs w:val="21"/>
              </w:rPr>
            </w:pPr>
            <w:r>
              <w:rPr>
                <w:rFonts w:ascii="Arial" w:hAnsi="Arial" w:cs="Arial"/>
                <w:kern w:val="0"/>
                <w:szCs w:val="21"/>
              </w:rPr>
              <w:t>税银子系统</w:t>
            </w:r>
          </w:p>
        </w:tc>
        <w:tc>
          <w:tcPr>
            <w:tcW w:w="860" w:type="pct"/>
            <w:noWrap/>
            <w:vAlign w:val="center"/>
          </w:tcPr>
          <w:p>
            <w:pPr>
              <w:widowControl/>
              <w:suppressAutoHyphens/>
              <w:jc w:val="left"/>
              <w:rPr>
                <w:rFonts w:ascii="Arial" w:hAnsi="Arial" w:cs="Arial"/>
                <w:kern w:val="0"/>
                <w:szCs w:val="21"/>
              </w:rPr>
            </w:pPr>
            <w:r>
              <w:rPr>
                <w:rFonts w:ascii="Arial" w:hAnsi="Arial" w:cs="Arial"/>
                <w:kern w:val="0"/>
                <w:szCs w:val="21"/>
              </w:rPr>
              <w:t>管理子系统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421" w:type="pct"/>
            <w:noWrap/>
            <w:vAlign w:val="center"/>
          </w:tcPr>
          <w:p>
            <w:pPr>
              <w:widowControl/>
              <w:suppressAutoHyphens/>
              <w:jc w:val="center"/>
              <w:rPr>
                <w:rFonts w:ascii="Arial" w:hAnsi="Arial" w:cs="Arial"/>
                <w:kern w:val="0"/>
                <w:szCs w:val="21"/>
              </w:rPr>
            </w:pPr>
            <w:r>
              <w:rPr>
                <w:rFonts w:ascii="Arial" w:hAnsi="Arial" w:cs="Arial"/>
                <w:kern w:val="0"/>
                <w:szCs w:val="21"/>
              </w:rPr>
              <w:t>4</w:t>
            </w:r>
          </w:p>
        </w:tc>
        <w:tc>
          <w:tcPr>
            <w:tcW w:w="891" w:type="pct"/>
            <w:vMerge w:val="continue"/>
            <w:vAlign w:val="center"/>
          </w:tcPr>
          <w:p>
            <w:pPr>
              <w:widowControl/>
              <w:suppressAutoHyphens/>
              <w:jc w:val="left"/>
              <w:rPr>
                <w:rFonts w:ascii="Arial" w:hAnsi="Arial" w:cs="Arial"/>
                <w:kern w:val="0"/>
                <w:szCs w:val="21"/>
              </w:rPr>
            </w:pPr>
          </w:p>
        </w:tc>
        <w:tc>
          <w:tcPr>
            <w:tcW w:w="1829" w:type="pct"/>
            <w:noWrap/>
            <w:vAlign w:val="center"/>
          </w:tcPr>
          <w:p>
            <w:pPr>
              <w:widowControl/>
              <w:suppressAutoHyphens/>
              <w:jc w:val="left"/>
              <w:rPr>
                <w:rFonts w:ascii="Arial" w:hAnsi="Arial" w:cs="Arial"/>
                <w:kern w:val="0"/>
                <w:szCs w:val="21"/>
              </w:rPr>
            </w:pPr>
            <w:r>
              <w:rPr>
                <w:rFonts w:ascii="Arial" w:hAnsi="Arial" w:cs="Arial"/>
                <w:kern w:val="0"/>
                <w:szCs w:val="21"/>
              </w:rPr>
              <w:t>个人银行缴费参保查询响应</w:t>
            </w:r>
          </w:p>
        </w:tc>
        <w:tc>
          <w:tcPr>
            <w:tcW w:w="999" w:type="pct"/>
            <w:noWrap/>
            <w:vAlign w:val="center"/>
          </w:tcPr>
          <w:p>
            <w:pPr>
              <w:widowControl/>
              <w:suppressAutoHyphens/>
              <w:jc w:val="left"/>
              <w:rPr>
                <w:rFonts w:ascii="Arial" w:hAnsi="Arial" w:cs="Arial"/>
                <w:kern w:val="0"/>
                <w:szCs w:val="21"/>
              </w:rPr>
            </w:pPr>
            <w:r>
              <w:rPr>
                <w:rFonts w:ascii="Arial" w:hAnsi="Arial" w:cs="Arial"/>
                <w:kern w:val="0"/>
                <w:szCs w:val="21"/>
              </w:rPr>
              <w:t>管理子系统</w:t>
            </w:r>
          </w:p>
        </w:tc>
        <w:tc>
          <w:tcPr>
            <w:tcW w:w="860" w:type="pct"/>
            <w:noWrap/>
            <w:vAlign w:val="center"/>
          </w:tcPr>
          <w:p>
            <w:pPr>
              <w:widowControl/>
              <w:suppressAutoHyphens/>
              <w:jc w:val="left"/>
              <w:rPr>
                <w:rFonts w:ascii="Arial" w:hAnsi="Arial" w:cs="Arial"/>
                <w:kern w:val="0"/>
                <w:szCs w:val="21"/>
              </w:rPr>
            </w:pPr>
            <w:r>
              <w:rPr>
                <w:rFonts w:ascii="Arial" w:hAnsi="Arial" w:cs="Arial"/>
                <w:kern w:val="0"/>
                <w:szCs w:val="21"/>
              </w:rPr>
              <w:t>税银子系统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421" w:type="pct"/>
            <w:noWrap/>
            <w:vAlign w:val="center"/>
          </w:tcPr>
          <w:p>
            <w:pPr>
              <w:widowControl/>
              <w:suppressAutoHyphens/>
              <w:jc w:val="center"/>
              <w:rPr>
                <w:rFonts w:ascii="Arial" w:hAnsi="Arial" w:cs="Arial"/>
                <w:kern w:val="0"/>
                <w:szCs w:val="21"/>
              </w:rPr>
            </w:pPr>
            <w:r>
              <w:rPr>
                <w:rFonts w:ascii="Arial" w:hAnsi="Arial" w:cs="Arial"/>
                <w:kern w:val="0"/>
                <w:szCs w:val="21"/>
              </w:rPr>
              <w:t>5</w:t>
            </w:r>
          </w:p>
        </w:tc>
        <w:tc>
          <w:tcPr>
            <w:tcW w:w="891" w:type="pct"/>
            <w:vMerge w:val="continue"/>
            <w:vAlign w:val="center"/>
          </w:tcPr>
          <w:p>
            <w:pPr>
              <w:widowControl/>
              <w:suppressAutoHyphens/>
              <w:jc w:val="left"/>
              <w:rPr>
                <w:rFonts w:ascii="Arial" w:hAnsi="Arial" w:cs="Arial"/>
                <w:kern w:val="0"/>
                <w:szCs w:val="21"/>
              </w:rPr>
            </w:pPr>
          </w:p>
        </w:tc>
        <w:tc>
          <w:tcPr>
            <w:tcW w:w="1829" w:type="pct"/>
            <w:noWrap/>
            <w:vAlign w:val="center"/>
          </w:tcPr>
          <w:p>
            <w:pPr>
              <w:widowControl/>
              <w:suppressAutoHyphens/>
              <w:jc w:val="left"/>
              <w:rPr>
                <w:rFonts w:ascii="Arial" w:hAnsi="Arial" w:cs="Arial"/>
                <w:kern w:val="0"/>
                <w:szCs w:val="21"/>
              </w:rPr>
            </w:pPr>
            <w:r>
              <w:rPr>
                <w:rFonts w:ascii="Arial" w:hAnsi="Arial" w:cs="Arial"/>
                <w:kern w:val="0"/>
                <w:szCs w:val="21"/>
              </w:rPr>
              <w:t>个人银行缴费城乡居民查询请求</w:t>
            </w:r>
          </w:p>
        </w:tc>
        <w:tc>
          <w:tcPr>
            <w:tcW w:w="999" w:type="pct"/>
            <w:noWrap/>
            <w:vAlign w:val="center"/>
          </w:tcPr>
          <w:p>
            <w:pPr>
              <w:widowControl/>
              <w:suppressAutoHyphens/>
              <w:jc w:val="left"/>
              <w:rPr>
                <w:rFonts w:ascii="Arial" w:hAnsi="Arial" w:cs="Arial"/>
                <w:kern w:val="0"/>
                <w:szCs w:val="21"/>
              </w:rPr>
            </w:pPr>
            <w:r>
              <w:rPr>
                <w:rFonts w:ascii="Arial" w:hAnsi="Arial" w:cs="Arial"/>
                <w:kern w:val="0"/>
                <w:szCs w:val="21"/>
              </w:rPr>
              <w:t>税银子系统</w:t>
            </w:r>
          </w:p>
        </w:tc>
        <w:tc>
          <w:tcPr>
            <w:tcW w:w="860" w:type="pct"/>
            <w:noWrap/>
            <w:vAlign w:val="center"/>
          </w:tcPr>
          <w:p>
            <w:pPr>
              <w:widowControl/>
              <w:suppressAutoHyphens/>
              <w:jc w:val="left"/>
              <w:rPr>
                <w:rFonts w:ascii="Arial" w:hAnsi="Arial" w:cs="Arial"/>
                <w:kern w:val="0"/>
                <w:szCs w:val="21"/>
              </w:rPr>
            </w:pPr>
            <w:r>
              <w:rPr>
                <w:rFonts w:ascii="Arial" w:hAnsi="Arial" w:cs="Arial"/>
                <w:kern w:val="0"/>
                <w:szCs w:val="21"/>
              </w:rPr>
              <w:t>管理子系统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421" w:type="pct"/>
            <w:noWrap/>
            <w:vAlign w:val="center"/>
          </w:tcPr>
          <w:p>
            <w:pPr>
              <w:widowControl/>
              <w:suppressAutoHyphens/>
              <w:jc w:val="center"/>
              <w:rPr>
                <w:rFonts w:ascii="Arial" w:hAnsi="Arial" w:cs="Arial"/>
                <w:kern w:val="0"/>
                <w:szCs w:val="21"/>
              </w:rPr>
            </w:pPr>
            <w:r>
              <w:rPr>
                <w:rFonts w:ascii="Arial" w:hAnsi="Arial" w:cs="Arial"/>
                <w:kern w:val="0"/>
                <w:szCs w:val="21"/>
              </w:rPr>
              <w:t>6</w:t>
            </w:r>
          </w:p>
        </w:tc>
        <w:tc>
          <w:tcPr>
            <w:tcW w:w="891" w:type="pct"/>
            <w:vMerge w:val="continue"/>
            <w:vAlign w:val="center"/>
          </w:tcPr>
          <w:p>
            <w:pPr>
              <w:widowControl/>
              <w:suppressAutoHyphens/>
              <w:jc w:val="left"/>
              <w:rPr>
                <w:rFonts w:ascii="Arial" w:hAnsi="Arial" w:cs="Arial"/>
                <w:kern w:val="0"/>
                <w:szCs w:val="21"/>
              </w:rPr>
            </w:pPr>
          </w:p>
        </w:tc>
        <w:tc>
          <w:tcPr>
            <w:tcW w:w="1829" w:type="pct"/>
            <w:noWrap/>
            <w:vAlign w:val="center"/>
          </w:tcPr>
          <w:p>
            <w:pPr>
              <w:widowControl/>
              <w:suppressAutoHyphens/>
              <w:jc w:val="left"/>
              <w:rPr>
                <w:rFonts w:ascii="Arial" w:hAnsi="Arial" w:cs="Arial"/>
                <w:kern w:val="0"/>
                <w:szCs w:val="21"/>
              </w:rPr>
            </w:pPr>
            <w:r>
              <w:rPr>
                <w:rFonts w:ascii="Arial" w:hAnsi="Arial" w:cs="Arial"/>
                <w:kern w:val="0"/>
                <w:szCs w:val="21"/>
              </w:rPr>
              <w:t>个人银行缴费城乡居民查询响应</w:t>
            </w:r>
          </w:p>
        </w:tc>
        <w:tc>
          <w:tcPr>
            <w:tcW w:w="999" w:type="pct"/>
            <w:noWrap/>
            <w:vAlign w:val="center"/>
          </w:tcPr>
          <w:p>
            <w:pPr>
              <w:widowControl/>
              <w:suppressAutoHyphens/>
              <w:jc w:val="left"/>
              <w:rPr>
                <w:rFonts w:ascii="Arial" w:hAnsi="Arial" w:cs="Arial"/>
                <w:kern w:val="0"/>
                <w:szCs w:val="21"/>
              </w:rPr>
            </w:pPr>
            <w:r>
              <w:rPr>
                <w:rFonts w:ascii="Arial" w:hAnsi="Arial" w:cs="Arial"/>
                <w:kern w:val="0"/>
                <w:szCs w:val="21"/>
              </w:rPr>
              <w:t>管理子系统</w:t>
            </w:r>
          </w:p>
        </w:tc>
        <w:tc>
          <w:tcPr>
            <w:tcW w:w="860" w:type="pct"/>
            <w:noWrap/>
            <w:vAlign w:val="center"/>
          </w:tcPr>
          <w:p>
            <w:pPr>
              <w:widowControl/>
              <w:suppressAutoHyphens/>
              <w:jc w:val="left"/>
              <w:rPr>
                <w:rFonts w:ascii="Arial" w:hAnsi="Arial" w:cs="Arial"/>
                <w:kern w:val="0"/>
                <w:szCs w:val="21"/>
              </w:rPr>
            </w:pPr>
            <w:r>
              <w:rPr>
                <w:rFonts w:ascii="Arial" w:hAnsi="Arial" w:cs="Arial"/>
                <w:kern w:val="0"/>
                <w:szCs w:val="21"/>
              </w:rPr>
              <w:t>税银子系统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421" w:type="pct"/>
            <w:noWrap/>
            <w:vAlign w:val="center"/>
          </w:tcPr>
          <w:p>
            <w:pPr>
              <w:widowControl/>
              <w:suppressAutoHyphens/>
              <w:jc w:val="center"/>
              <w:rPr>
                <w:rFonts w:ascii="Arial" w:hAnsi="Arial" w:cs="Arial"/>
                <w:kern w:val="0"/>
                <w:szCs w:val="21"/>
              </w:rPr>
            </w:pPr>
            <w:r>
              <w:rPr>
                <w:rFonts w:ascii="Arial" w:hAnsi="Arial" w:cs="Arial"/>
                <w:kern w:val="0"/>
                <w:szCs w:val="21"/>
              </w:rPr>
              <w:t>7</w:t>
            </w:r>
          </w:p>
        </w:tc>
        <w:tc>
          <w:tcPr>
            <w:tcW w:w="891" w:type="pct"/>
            <w:vMerge w:val="continue"/>
            <w:vAlign w:val="center"/>
          </w:tcPr>
          <w:p>
            <w:pPr>
              <w:widowControl/>
              <w:suppressAutoHyphens/>
              <w:jc w:val="left"/>
              <w:rPr>
                <w:rFonts w:ascii="Arial" w:hAnsi="Arial" w:cs="Arial"/>
                <w:kern w:val="0"/>
                <w:szCs w:val="21"/>
              </w:rPr>
            </w:pPr>
          </w:p>
        </w:tc>
        <w:tc>
          <w:tcPr>
            <w:tcW w:w="1829" w:type="pct"/>
            <w:noWrap/>
            <w:vAlign w:val="center"/>
          </w:tcPr>
          <w:p>
            <w:pPr>
              <w:widowControl/>
              <w:suppressAutoHyphens/>
              <w:jc w:val="left"/>
              <w:rPr>
                <w:rFonts w:ascii="Arial" w:hAnsi="Arial" w:cs="Arial"/>
                <w:kern w:val="0"/>
                <w:szCs w:val="21"/>
              </w:rPr>
            </w:pPr>
            <w:r>
              <w:rPr>
                <w:rFonts w:ascii="Arial" w:hAnsi="Arial" w:cs="Arial"/>
                <w:kern w:val="0"/>
                <w:szCs w:val="21"/>
              </w:rPr>
              <w:t>个人银行缴费灵活就业查询请求</w:t>
            </w:r>
          </w:p>
        </w:tc>
        <w:tc>
          <w:tcPr>
            <w:tcW w:w="999" w:type="pct"/>
            <w:noWrap/>
            <w:vAlign w:val="center"/>
          </w:tcPr>
          <w:p>
            <w:pPr>
              <w:widowControl/>
              <w:suppressAutoHyphens/>
              <w:jc w:val="left"/>
              <w:rPr>
                <w:rFonts w:ascii="Arial" w:hAnsi="Arial" w:cs="Arial"/>
                <w:kern w:val="0"/>
                <w:szCs w:val="21"/>
              </w:rPr>
            </w:pPr>
            <w:r>
              <w:rPr>
                <w:rFonts w:ascii="Arial" w:hAnsi="Arial" w:cs="Arial"/>
                <w:kern w:val="0"/>
                <w:szCs w:val="21"/>
              </w:rPr>
              <w:t>税银子系统</w:t>
            </w:r>
          </w:p>
        </w:tc>
        <w:tc>
          <w:tcPr>
            <w:tcW w:w="860" w:type="pct"/>
            <w:noWrap/>
            <w:vAlign w:val="center"/>
          </w:tcPr>
          <w:p>
            <w:pPr>
              <w:widowControl/>
              <w:suppressAutoHyphens/>
              <w:jc w:val="left"/>
              <w:rPr>
                <w:rFonts w:ascii="Arial" w:hAnsi="Arial" w:cs="Arial"/>
                <w:kern w:val="0"/>
                <w:szCs w:val="21"/>
              </w:rPr>
            </w:pPr>
            <w:r>
              <w:rPr>
                <w:rFonts w:ascii="Arial" w:hAnsi="Arial" w:cs="Arial"/>
                <w:kern w:val="0"/>
                <w:szCs w:val="21"/>
              </w:rPr>
              <w:t>管理子系统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421" w:type="pct"/>
            <w:noWrap/>
            <w:vAlign w:val="center"/>
          </w:tcPr>
          <w:p>
            <w:pPr>
              <w:widowControl/>
              <w:suppressAutoHyphens/>
              <w:jc w:val="center"/>
              <w:rPr>
                <w:rFonts w:ascii="Arial" w:hAnsi="Arial" w:cs="Arial"/>
                <w:kern w:val="0"/>
                <w:szCs w:val="21"/>
              </w:rPr>
            </w:pPr>
            <w:r>
              <w:rPr>
                <w:rFonts w:ascii="Arial" w:hAnsi="Arial" w:cs="Arial"/>
                <w:kern w:val="0"/>
                <w:szCs w:val="21"/>
              </w:rPr>
              <w:t>8</w:t>
            </w:r>
          </w:p>
        </w:tc>
        <w:tc>
          <w:tcPr>
            <w:tcW w:w="891" w:type="pct"/>
            <w:vMerge w:val="continue"/>
            <w:vAlign w:val="center"/>
          </w:tcPr>
          <w:p>
            <w:pPr>
              <w:widowControl/>
              <w:suppressAutoHyphens/>
              <w:jc w:val="left"/>
              <w:rPr>
                <w:rFonts w:ascii="Arial" w:hAnsi="Arial" w:cs="Arial"/>
                <w:kern w:val="0"/>
                <w:szCs w:val="21"/>
              </w:rPr>
            </w:pPr>
          </w:p>
        </w:tc>
        <w:tc>
          <w:tcPr>
            <w:tcW w:w="1829" w:type="pct"/>
            <w:noWrap/>
            <w:vAlign w:val="center"/>
          </w:tcPr>
          <w:p>
            <w:pPr>
              <w:widowControl/>
              <w:suppressAutoHyphens/>
              <w:jc w:val="left"/>
              <w:rPr>
                <w:rFonts w:ascii="Arial" w:hAnsi="Arial" w:cs="Arial"/>
                <w:kern w:val="0"/>
                <w:szCs w:val="21"/>
              </w:rPr>
            </w:pPr>
            <w:r>
              <w:rPr>
                <w:rFonts w:ascii="Arial" w:hAnsi="Arial" w:cs="Arial"/>
                <w:kern w:val="0"/>
                <w:szCs w:val="21"/>
              </w:rPr>
              <w:t>个人银行缴费灵活就业查询响应</w:t>
            </w:r>
          </w:p>
        </w:tc>
        <w:tc>
          <w:tcPr>
            <w:tcW w:w="999" w:type="pct"/>
            <w:noWrap/>
            <w:vAlign w:val="center"/>
          </w:tcPr>
          <w:p>
            <w:pPr>
              <w:widowControl/>
              <w:suppressAutoHyphens/>
              <w:jc w:val="left"/>
              <w:rPr>
                <w:rFonts w:ascii="Arial" w:hAnsi="Arial" w:cs="Arial"/>
                <w:kern w:val="0"/>
                <w:szCs w:val="21"/>
              </w:rPr>
            </w:pPr>
            <w:r>
              <w:rPr>
                <w:rFonts w:ascii="Arial" w:hAnsi="Arial" w:cs="Arial"/>
                <w:kern w:val="0"/>
                <w:szCs w:val="21"/>
              </w:rPr>
              <w:t>管理子系统</w:t>
            </w:r>
          </w:p>
        </w:tc>
        <w:tc>
          <w:tcPr>
            <w:tcW w:w="860" w:type="pct"/>
            <w:noWrap/>
            <w:vAlign w:val="center"/>
          </w:tcPr>
          <w:p>
            <w:pPr>
              <w:widowControl/>
              <w:suppressAutoHyphens/>
              <w:jc w:val="left"/>
              <w:rPr>
                <w:rFonts w:ascii="Arial" w:hAnsi="Arial" w:cs="Arial"/>
                <w:kern w:val="0"/>
                <w:szCs w:val="21"/>
              </w:rPr>
            </w:pPr>
            <w:r>
              <w:rPr>
                <w:rFonts w:ascii="Arial" w:hAnsi="Arial" w:cs="Arial"/>
                <w:kern w:val="0"/>
                <w:szCs w:val="21"/>
              </w:rPr>
              <w:t>税银子系统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421" w:type="pct"/>
            <w:noWrap/>
            <w:vAlign w:val="center"/>
          </w:tcPr>
          <w:p>
            <w:pPr>
              <w:widowControl/>
              <w:suppressAutoHyphens/>
              <w:jc w:val="center"/>
              <w:rPr>
                <w:rFonts w:ascii="Arial" w:hAnsi="Arial" w:cs="Arial"/>
                <w:kern w:val="0"/>
                <w:szCs w:val="21"/>
              </w:rPr>
            </w:pPr>
            <w:r>
              <w:rPr>
                <w:rFonts w:ascii="Arial" w:hAnsi="Arial" w:cs="Arial"/>
                <w:kern w:val="0"/>
                <w:szCs w:val="21"/>
              </w:rPr>
              <w:t>9</w:t>
            </w:r>
          </w:p>
        </w:tc>
        <w:tc>
          <w:tcPr>
            <w:tcW w:w="891" w:type="pct"/>
            <w:vMerge w:val="continue"/>
            <w:vAlign w:val="center"/>
          </w:tcPr>
          <w:p>
            <w:pPr>
              <w:widowControl/>
              <w:suppressAutoHyphens/>
              <w:jc w:val="left"/>
              <w:rPr>
                <w:rFonts w:ascii="Arial" w:hAnsi="Arial" w:cs="Arial"/>
                <w:kern w:val="0"/>
                <w:szCs w:val="21"/>
              </w:rPr>
            </w:pPr>
          </w:p>
        </w:tc>
        <w:tc>
          <w:tcPr>
            <w:tcW w:w="1829" w:type="pct"/>
            <w:noWrap/>
            <w:vAlign w:val="center"/>
          </w:tcPr>
          <w:p>
            <w:pPr>
              <w:widowControl/>
              <w:suppressAutoHyphens/>
              <w:jc w:val="left"/>
              <w:rPr>
                <w:rFonts w:ascii="Arial" w:hAnsi="Arial" w:cs="Arial"/>
                <w:kern w:val="0"/>
                <w:szCs w:val="21"/>
              </w:rPr>
            </w:pPr>
            <w:r>
              <w:rPr>
                <w:rFonts w:ascii="Arial" w:hAnsi="Arial" w:cs="Arial"/>
                <w:kern w:val="0"/>
                <w:szCs w:val="21"/>
              </w:rPr>
              <w:t>个人银行缴费扣款结果确认请求</w:t>
            </w:r>
          </w:p>
        </w:tc>
        <w:tc>
          <w:tcPr>
            <w:tcW w:w="999" w:type="pct"/>
            <w:noWrap/>
            <w:vAlign w:val="center"/>
          </w:tcPr>
          <w:p>
            <w:pPr>
              <w:widowControl/>
              <w:suppressAutoHyphens/>
              <w:jc w:val="left"/>
              <w:rPr>
                <w:rFonts w:ascii="Arial" w:hAnsi="Arial" w:cs="Arial"/>
                <w:kern w:val="0"/>
                <w:szCs w:val="21"/>
              </w:rPr>
            </w:pPr>
            <w:r>
              <w:rPr>
                <w:rFonts w:ascii="Arial" w:hAnsi="Arial" w:cs="Arial"/>
                <w:kern w:val="0"/>
                <w:szCs w:val="21"/>
              </w:rPr>
              <w:t>税银子系统</w:t>
            </w:r>
          </w:p>
        </w:tc>
        <w:tc>
          <w:tcPr>
            <w:tcW w:w="860" w:type="pct"/>
            <w:noWrap/>
            <w:vAlign w:val="center"/>
          </w:tcPr>
          <w:p>
            <w:pPr>
              <w:widowControl/>
              <w:suppressAutoHyphens/>
              <w:jc w:val="left"/>
              <w:rPr>
                <w:rFonts w:ascii="Arial" w:hAnsi="Arial" w:cs="Arial"/>
                <w:kern w:val="0"/>
                <w:szCs w:val="21"/>
              </w:rPr>
            </w:pPr>
            <w:r>
              <w:rPr>
                <w:rFonts w:ascii="Arial" w:hAnsi="Arial" w:cs="Arial"/>
                <w:kern w:val="0"/>
                <w:szCs w:val="21"/>
              </w:rPr>
              <w:t>管理子系统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421" w:type="pct"/>
            <w:noWrap/>
            <w:vAlign w:val="center"/>
          </w:tcPr>
          <w:p>
            <w:pPr>
              <w:widowControl/>
              <w:suppressAutoHyphens/>
              <w:jc w:val="center"/>
              <w:rPr>
                <w:rFonts w:ascii="Arial" w:hAnsi="Arial" w:cs="Arial"/>
                <w:kern w:val="0"/>
                <w:szCs w:val="21"/>
              </w:rPr>
            </w:pPr>
            <w:r>
              <w:rPr>
                <w:rFonts w:ascii="Arial" w:hAnsi="Arial" w:cs="Arial"/>
                <w:kern w:val="0"/>
                <w:szCs w:val="21"/>
              </w:rPr>
              <w:t>10</w:t>
            </w:r>
          </w:p>
        </w:tc>
        <w:tc>
          <w:tcPr>
            <w:tcW w:w="891" w:type="pct"/>
            <w:vMerge w:val="continue"/>
            <w:vAlign w:val="center"/>
          </w:tcPr>
          <w:p>
            <w:pPr>
              <w:widowControl/>
              <w:suppressAutoHyphens/>
              <w:jc w:val="left"/>
              <w:rPr>
                <w:rFonts w:ascii="Arial" w:hAnsi="Arial" w:cs="Arial"/>
                <w:kern w:val="0"/>
                <w:szCs w:val="21"/>
              </w:rPr>
            </w:pPr>
          </w:p>
        </w:tc>
        <w:tc>
          <w:tcPr>
            <w:tcW w:w="1829" w:type="pct"/>
            <w:noWrap/>
            <w:vAlign w:val="center"/>
          </w:tcPr>
          <w:p>
            <w:pPr>
              <w:widowControl/>
              <w:suppressAutoHyphens/>
              <w:jc w:val="left"/>
              <w:rPr>
                <w:rFonts w:ascii="Arial" w:hAnsi="Arial" w:cs="Arial"/>
                <w:kern w:val="0"/>
                <w:szCs w:val="21"/>
              </w:rPr>
            </w:pPr>
            <w:r>
              <w:rPr>
                <w:rFonts w:ascii="Arial" w:hAnsi="Arial" w:cs="Arial"/>
                <w:kern w:val="0"/>
                <w:szCs w:val="21"/>
              </w:rPr>
              <w:t>个人银行缴费扣款结果确认响应</w:t>
            </w:r>
          </w:p>
        </w:tc>
        <w:tc>
          <w:tcPr>
            <w:tcW w:w="999" w:type="pct"/>
            <w:noWrap/>
            <w:vAlign w:val="center"/>
          </w:tcPr>
          <w:p>
            <w:pPr>
              <w:widowControl/>
              <w:suppressAutoHyphens/>
              <w:jc w:val="left"/>
              <w:rPr>
                <w:rFonts w:ascii="Arial" w:hAnsi="Arial" w:cs="Arial"/>
                <w:kern w:val="0"/>
                <w:szCs w:val="21"/>
              </w:rPr>
            </w:pPr>
            <w:r>
              <w:rPr>
                <w:rFonts w:ascii="Arial" w:hAnsi="Arial" w:cs="Arial"/>
                <w:kern w:val="0"/>
                <w:szCs w:val="21"/>
              </w:rPr>
              <w:t>管理子系统</w:t>
            </w:r>
          </w:p>
        </w:tc>
        <w:tc>
          <w:tcPr>
            <w:tcW w:w="860" w:type="pct"/>
            <w:noWrap/>
            <w:vAlign w:val="center"/>
          </w:tcPr>
          <w:p>
            <w:pPr>
              <w:widowControl/>
              <w:suppressAutoHyphens/>
              <w:jc w:val="left"/>
              <w:rPr>
                <w:rFonts w:ascii="Arial" w:hAnsi="Arial" w:cs="Arial"/>
                <w:kern w:val="0"/>
                <w:szCs w:val="21"/>
              </w:rPr>
            </w:pPr>
            <w:r>
              <w:rPr>
                <w:rFonts w:ascii="Arial" w:hAnsi="Arial" w:cs="Arial"/>
                <w:kern w:val="0"/>
                <w:szCs w:val="21"/>
              </w:rPr>
              <w:t>税银子系统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421" w:type="pct"/>
            <w:noWrap/>
            <w:vAlign w:val="center"/>
          </w:tcPr>
          <w:p>
            <w:pPr>
              <w:widowControl/>
              <w:suppressAutoHyphens/>
              <w:jc w:val="center"/>
              <w:rPr>
                <w:rFonts w:ascii="Arial" w:hAnsi="Arial" w:cs="Arial"/>
                <w:kern w:val="0"/>
                <w:szCs w:val="21"/>
              </w:rPr>
            </w:pPr>
            <w:r>
              <w:rPr>
                <w:rFonts w:ascii="Arial" w:hAnsi="Arial" w:cs="Arial"/>
                <w:kern w:val="0"/>
                <w:szCs w:val="21"/>
              </w:rPr>
              <w:t>11</w:t>
            </w:r>
          </w:p>
        </w:tc>
        <w:tc>
          <w:tcPr>
            <w:tcW w:w="891" w:type="pct"/>
            <w:vMerge w:val="continue"/>
            <w:vAlign w:val="center"/>
          </w:tcPr>
          <w:p>
            <w:pPr>
              <w:widowControl/>
              <w:suppressAutoHyphens/>
              <w:jc w:val="left"/>
              <w:rPr>
                <w:rFonts w:ascii="Arial" w:hAnsi="Arial" w:cs="Arial"/>
                <w:kern w:val="0"/>
                <w:szCs w:val="21"/>
              </w:rPr>
            </w:pPr>
          </w:p>
        </w:tc>
        <w:tc>
          <w:tcPr>
            <w:tcW w:w="1829" w:type="pct"/>
            <w:noWrap/>
            <w:vAlign w:val="center"/>
          </w:tcPr>
          <w:p>
            <w:pPr>
              <w:widowControl/>
              <w:suppressAutoHyphens/>
              <w:jc w:val="left"/>
              <w:rPr>
                <w:rFonts w:ascii="Arial" w:hAnsi="Arial" w:cs="Arial"/>
                <w:kern w:val="0"/>
                <w:szCs w:val="21"/>
              </w:rPr>
            </w:pPr>
            <w:r>
              <w:rPr>
                <w:rFonts w:ascii="Arial" w:hAnsi="Arial" w:cs="Arial"/>
                <w:kern w:val="0"/>
                <w:szCs w:val="21"/>
              </w:rPr>
              <w:t>个人银行缴费撤销请求</w:t>
            </w:r>
          </w:p>
        </w:tc>
        <w:tc>
          <w:tcPr>
            <w:tcW w:w="999" w:type="pct"/>
            <w:noWrap/>
            <w:vAlign w:val="center"/>
          </w:tcPr>
          <w:p>
            <w:pPr>
              <w:widowControl/>
              <w:suppressAutoHyphens/>
              <w:jc w:val="left"/>
              <w:rPr>
                <w:rFonts w:ascii="Arial" w:hAnsi="Arial" w:cs="Arial"/>
                <w:kern w:val="0"/>
                <w:szCs w:val="21"/>
              </w:rPr>
            </w:pPr>
            <w:r>
              <w:rPr>
                <w:rFonts w:ascii="Arial" w:hAnsi="Arial" w:cs="Arial"/>
                <w:kern w:val="0"/>
                <w:szCs w:val="21"/>
              </w:rPr>
              <w:t>税银子系统</w:t>
            </w:r>
          </w:p>
        </w:tc>
        <w:tc>
          <w:tcPr>
            <w:tcW w:w="860" w:type="pct"/>
            <w:noWrap/>
            <w:vAlign w:val="center"/>
          </w:tcPr>
          <w:p>
            <w:pPr>
              <w:widowControl/>
              <w:suppressAutoHyphens/>
              <w:jc w:val="left"/>
              <w:rPr>
                <w:rFonts w:ascii="Arial" w:hAnsi="Arial" w:cs="Arial"/>
                <w:kern w:val="0"/>
                <w:szCs w:val="21"/>
              </w:rPr>
            </w:pPr>
            <w:r>
              <w:rPr>
                <w:rFonts w:ascii="Arial" w:hAnsi="Arial" w:cs="Arial"/>
                <w:kern w:val="0"/>
                <w:szCs w:val="21"/>
              </w:rPr>
              <w:t>管理子系统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421" w:type="pct"/>
            <w:noWrap/>
            <w:vAlign w:val="center"/>
          </w:tcPr>
          <w:p>
            <w:pPr>
              <w:widowControl/>
              <w:suppressAutoHyphens/>
              <w:jc w:val="center"/>
              <w:rPr>
                <w:rFonts w:ascii="Arial" w:hAnsi="Arial" w:cs="Arial"/>
                <w:kern w:val="0"/>
                <w:szCs w:val="21"/>
              </w:rPr>
            </w:pPr>
            <w:r>
              <w:rPr>
                <w:rFonts w:ascii="Arial" w:hAnsi="Arial" w:cs="Arial"/>
                <w:kern w:val="0"/>
                <w:szCs w:val="21"/>
              </w:rPr>
              <w:t>12</w:t>
            </w:r>
          </w:p>
        </w:tc>
        <w:tc>
          <w:tcPr>
            <w:tcW w:w="891" w:type="pct"/>
            <w:vMerge w:val="continue"/>
            <w:vAlign w:val="center"/>
          </w:tcPr>
          <w:p>
            <w:pPr>
              <w:widowControl/>
              <w:suppressAutoHyphens/>
              <w:jc w:val="left"/>
              <w:rPr>
                <w:rFonts w:ascii="Arial" w:hAnsi="Arial" w:cs="Arial"/>
                <w:kern w:val="0"/>
                <w:szCs w:val="21"/>
              </w:rPr>
            </w:pPr>
          </w:p>
        </w:tc>
        <w:tc>
          <w:tcPr>
            <w:tcW w:w="1829" w:type="pct"/>
            <w:noWrap/>
            <w:vAlign w:val="center"/>
          </w:tcPr>
          <w:p>
            <w:pPr>
              <w:widowControl/>
              <w:suppressAutoHyphens/>
              <w:jc w:val="left"/>
              <w:rPr>
                <w:rFonts w:ascii="Arial" w:hAnsi="Arial" w:cs="Arial"/>
                <w:kern w:val="0"/>
                <w:szCs w:val="21"/>
              </w:rPr>
            </w:pPr>
            <w:r>
              <w:rPr>
                <w:rFonts w:ascii="Arial" w:hAnsi="Arial" w:cs="Arial"/>
                <w:kern w:val="0"/>
                <w:szCs w:val="21"/>
              </w:rPr>
              <w:t>个人银行缴费撤销响应</w:t>
            </w:r>
          </w:p>
        </w:tc>
        <w:tc>
          <w:tcPr>
            <w:tcW w:w="999" w:type="pct"/>
            <w:noWrap/>
            <w:vAlign w:val="center"/>
          </w:tcPr>
          <w:p>
            <w:pPr>
              <w:widowControl/>
              <w:suppressAutoHyphens/>
              <w:jc w:val="left"/>
              <w:rPr>
                <w:rFonts w:ascii="Arial" w:hAnsi="Arial" w:cs="Arial"/>
                <w:kern w:val="0"/>
                <w:szCs w:val="21"/>
              </w:rPr>
            </w:pPr>
            <w:r>
              <w:rPr>
                <w:rFonts w:ascii="Arial" w:hAnsi="Arial" w:cs="Arial"/>
                <w:kern w:val="0"/>
                <w:szCs w:val="21"/>
              </w:rPr>
              <w:t>管理子系统</w:t>
            </w:r>
          </w:p>
        </w:tc>
        <w:tc>
          <w:tcPr>
            <w:tcW w:w="860" w:type="pct"/>
            <w:noWrap/>
            <w:vAlign w:val="center"/>
          </w:tcPr>
          <w:p>
            <w:pPr>
              <w:widowControl/>
              <w:suppressAutoHyphens/>
              <w:jc w:val="left"/>
              <w:rPr>
                <w:rFonts w:ascii="Arial" w:hAnsi="Arial" w:cs="Arial"/>
                <w:kern w:val="0"/>
                <w:szCs w:val="21"/>
              </w:rPr>
            </w:pPr>
            <w:r>
              <w:rPr>
                <w:rFonts w:ascii="Arial" w:hAnsi="Arial" w:cs="Arial"/>
                <w:kern w:val="0"/>
                <w:szCs w:val="21"/>
              </w:rPr>
              <w:t>税银子系统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421" w:type="pct"/>
            <w:noWrap/>
            <w:vAlign w:val="center"/>
          </w:tcPr>
          <w:p>
            <w:pPr>
              <w:widowControl/>
              <w:suppressAutoHyphens/>
              <w:jc w:val="center"/>
              <w:rPr>
                <w:rFonts w:ascii="Arial" w:hAnsi="Arial" w:cs="Arial"/>
                <w:kern w:val="0"/>
                <w:szCs w:val="21"/>
              </w:rPr>
            </w:pPr>
            <w:r>
              <w:rPr>
                <w:rFonts w:ascii="Arial" w:hAnsi="Arial" w:cs="Arial"/>
                <w:kern w:val="0"/>
                <w:szCs w:val="21"/>
              </w:rPr>
              <w:t>13</w:t>
            </w:r>
          </w:p>
        </w:tc>
        <w:tc>
          <w:tcPr>
            <w:tcW w:w="891" w:type="pct"/>
            <w:vMerge w:val="restart"/>
            <w:noWrap/>
            <w:vAlign w:val="center"/>
          </w:tcPr>
          <w:p>
            <w:pPr>
              <w:widowControl/>
              <w:suppressAutoHyphens/>
              <w:jc w:val="center"/>
              <w:rPr>
                <w:rFonts w:ascii="Arial" w:hAnsi="Arial" w:cs="Arial"/>
                <w:kern w:val="0"/>
                <w:szCs w:val="21"/>
              </w:rPr>
            </w:pPr>
            <w:r>
              <w:rPr>
                <w:rFonts w:ascii="Arial" w:hAnsi="Arial" w:cs="Arial"/>
                <w:kern w:val="0"/>
                <w:szCs w:val="21"/>
              </w:rPr>
              <w:t>个人委托扣款缴费协议</w:t>
            </w:r>
          </w:p>
        </w:tc>
        <w:tc>
          <w:tcPr>
            <w:tcW w:w="1829" w:type="pct"/>
            <w:noWrap/>
            <w:vAlign w:val="center"/>
          </w:tcPr>
          <w:p>
            <w:pPr>
              <w:widowControl/>
              <w:suppressAutoHyphens/>
              <w:jc w:val="left"/>
              <w:rPr>
                <w:rFonts w:ascii="Arial" w:hAnsi="Arial" w:cs="Arial"/>
                <w:kern w:val="0"/>
                <w:szCs w:val="21"/>
              </w:rPr>
            </w:pPr>
            <w:r>
              <w:rPr>
                <w:rFonts w:ascii="Arial" w:hAnsi="Arial" w:cs="Arial"/>
                <w:kern w:val="0"/>
                <w:szCs w:val="21"/>
              </w:rPr>
              <w:t>个人委托扣款缴费协议（生效/撤销）请求</w:t>
            </w:r>
          </w:p>
        </w:tc>
        <w:tc>
          <w:tcPr>
            <w:tcW w:w="999" w:type="pct"/>
            <w:noWrap/>
            <w:vAlign w:val="center"/>
          </w:tcPr>
          <w:p>
            <w:pPr>
              <w:widowControl/>
              <w:suppressAutoHyphens/>
              <w:jc w:val="left"/>
              <w:rPr>
                <w:rFonts w:ascii="Arial" w:hAnsi="Arial" w:cs="Arial"/>
                <w:kern w:val="0"/>
                <w:szCs w:val="21"/>
              </w:rPr>
            </w:pPr>
            <w:r>
              <w:rPr>
                <w:rFonts w:ascii="Arial" w:hAnsi="Arial" w:cs="Arial"/>
                <w:kern w:val="0"/>
                <w:szCs w:val="21"/>
              </w:rPr>
              <w:t>税银子系统</w:t>
            </w:r>
          </w:p>
        </w:tc>
        <w:tc>
          <w:tcPr>
            <w:tcW w:w="860" w:type="pct"/>
            <w:noWrap/>
            <w:vAlign w:val="center"/>
          </w:tcPr>
          <w:p>
            <w:pPr>
              <w:widowControl/>
              <w:suppressAutoHyphens/>
              <w:jc w:val="left"/>
              <w:rPr>
                <w:rFonts w:ascii="Arial" w:hAnsi="Arial" w:cs="Arial"/>
                <w:kern w:val="0"/>
                <w:szCs w:val="21"/>
              </w:rPr>
            </w:pPr>
            <w:r>
              <w:rPr>
                <w:rFonts w:ascii="Arial" w:hAnsi="Arial" w:cs="Arial"/>
                <w:kern w:val="0"/>
                <w:szCs w:val="21"/>
              </w:rPr>
              <w:t>征收子系统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421" w:type="pct"/>
            <w:noWrap/>
            <w:vAlign w:val="center"/>
          </w:tcPr>
          <w:p>
            <w:pPr>
              <w:widowControl/>
              <w:suppressAutoHyphens/>
              <w:jc w:val="center"/>
              <w:rPr>
                <w:rFonts w:ascii="Arial" w:hAnsi="Arial" w:cs="Arial"/>
                <w:kern w:val="0"/>
                <w:szCs w:val="21"/>
              </w:rPr>
            </w:pPr>
            <w:r>
              <w:rPr>
                <w:rFonts w:ascii="Arial" w:hAnsi="Arial" w:cs="Arial"/>
                <w:kern w:val="0"/>
                <w:szCs w:val="21"/>
              </w:rPr>
              <w:t>14</w:t>
            </w:r>
          </w:p>
        </w:tc>
        <w:tc>
          <w:tcPr>
            <w:tcW w:w="891" w:type="pct"/>
            <w:vMerge w:val="continue"/>
            <w:vAlign w:val="center"/>
          </w:tcPr>
          <w:p>
            <w:pPr>
              <w:widowControl/>
              <w:suppressAutoHyphens/>
              <w:jc w:val="left"/>
              <w:rPr>
                <w:rFonts w:ascii="Arial" w:hAnsi="Arial" w:cs="Arial"/>
                <w:kern w:val="0"/>
                <w:szCs w:val="21"/>
              </w:rPr>
            </w:pPr>
          </w:p>
        </w:tc>
        <w:tc>
          <w:tcPr>
            <w:tcW w:w="1829" w:type="pct"/>
            <w:noWrap/>
            <w:vAlign w:val="center"/>
          </w:tcPr>
          <w:p>
            <w:pPr>
              <w:widowControl/>
              <w:suppressAutoHyphens/>
              <w:jc w:val="left"/>
              <w:rPr>
                <w:rFonts w:ascii="Arial" w:hAnsi="Arial" w:cs="Arial"/>
                <w:kern w:val="0"/>
                <w:szCs w:val="21"/>
              </w:rPr>
            </w:pPr>
            <w:r>
              <w:rPr>
                <w:rFonts w:ascii="Arial" w:hAnsi="Arial" w:cs="Arial"/>
                <w:kern w:val="0"/>
                <w:szCs w:val="21"/>
              </w:rPr>
              <w:t>个人委托扣款缴费协议（生效/撤销）响应</w:t>
            </w:r>
          </w:p>
        </w:tc>
        <w:tc>
          <w:tcPr>
            <w:tcW w:w="999" w:type="pct"/>
            <w:noWrap/>
            <w:vAlign w:val="center"/>
          </w:tcPr>
          <w:p>
            <w:pPr>
              <w:widowControl/>
              <w:suppressAutoHyphens/>
              <w:jc w:val="left"/>
              <w:rPr>
                <w:rFonts w:ascii="Arial" w:hAnsi="Arial" w:cs="Arial"/>
                <w:kern w:val="0"/>
                <w:szCs w:val="21"/>
              </w:rPr>
            </w:pPr>
            <w:r>
              <w:rPr>
                <w:rFonts w:ascii="Arial" w:hAnsi="Arial" w:cs="Arial"/>
                <w:kern w:val="0"/>
                <w:szCs w:val="21"/>
              </w:rPr>
              <w:t>征收子系统</w:t>
            </w:r>
          </w:p>
        </w:tc>
        <w:tc>
          <w:tcPr>
            <w:tcW w:w="860" w:type="pct"/>
            <w:noWrap/>
            <w:vAlign w:val="center"/>
          </w:tcPr>
          <w:p>
            <w:pPr>
              <w:widowControl/>
              <w:suppressAutoHyphens/>
              <w:jc w:val="left"/>
              <w:rPr>
                <w:rFonts w:ascii="Arial" w:hAnsi="Arial" w:cs="Arial"/>
                <w:kern w:val="0"/>
                <w:szCs w:val="21"/>
              </w:rPr>
            </w:pPr>
            <w:r>
              <w:rPr>
                <w:rFonts w:ascii="Arial" w:hAnsi="Arial" w:cs="Arial"/>
                <w:kern w:val="0"/>
                <w:szCs w:val="21"/>
              </w:rPr>
              <w:t>税银子系统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421" w:type="pct"/>
            <w:noWrap/>
            <w:vAlign w:val="center"/>
          </w:tcPr>
          <w:p>
            <w:pPr>
              <w:widowControl/>
              <w:suppressAutoHyphens/>
              <w:jc w:val="center"/>
              <w:rPr>
                <w:rFonts w:ascii="Arial" w:hAnsi="Arial" w:cs="Arial"/>
                <w:kern w:val="0"/>
                <w:szCs w:val="21"/>
              </w:rPr>
            </w:pPr>
            <w:r>
              <w:rPr>
                <w:rFonts w:ascii="Arial" w:hAnsi="Arial" w:cs="Arial"/>
                <w:kern w:val="0"/>
                <w:szCs w:val="21"/>
              </w:rPr>
              <w:t>15</w:t>
            </w:r>
          </w:p>
        </w:tc>
        <w:tc>
          <w:tcPr>
            <w:tcW w:w="891" w:type="pct"/>
            <w:noWrap/>
            <w:vAlign w:val="center"/>
          </w:tcPr>
          <w:p>
            <w:pPr>
              <w:widowControl/>
              <w:suppressAutoHyphens/>
              <w:jc w:val="center"/>
              <w:rPr>
                <w:rFonts w:ascii="Arial" w:hAnsi="Arial" w:cs="Arial"/>
                <w:kern w:val="0"/>
                <w:szCs w:val="21"/>
              </w:rPr>
            </w:pPr>
            <w:r>
              <w:rPr>
                <w:rFonts w:ascii="Arial" w:hAnsi="Arial" w:cs="Arial"/>
                <w:kern w:val="0"/>
                <w:szCs w:val="21"/>
              </w:rPr>
              <w:t>个人缴费日切流水对账</w:t>
            </w:r>
          </w:p>
        </w:tc>
        <w:tc>
          <w:tcPr>
            <w:tcW w:w="1829" w:type="pct"/>
            <w:noWrap/>
            <w:vAlign w:val="center"/>
          </w:tcPr>
          <w:p>
            <w:pPr>
              <w:widowControl/>
              <w:suppressAutoHyphens/>
              <w:jc w:val="left"/>
              <w:rPr>
                <w:rFonts w:ascii="Arial" w:hAnsi="Arial" w:cs="Arial"/>
                <w:kern w:val="0"/>
                <w:szCs w:val="21"/>
              </w:rPr>
            </w:pPr>
            <w:r>
              <w:rPr>
                <w:rFonts w:ascii="Arial" w:hAnsi="Arial" w:cs="Arial"/>
                <w:kern w:val="0"/>
                <w:szCs w:val="21"/>
              </w:rPr>
              <w:t>个人缴费日切流水对账</w:t>
            </w:r>
          </w:p>
        </w:tc>
        <w:tc>
          <w:tcPr>
            <w:tcW w:w="999" w:type="pct"/>
            <w:noWrap/>
            <w:vAlign w:val="center"/>
          </w:tcPr>
          <w:p>
            <w:pPr>
              <w:widowControl/>
              <w:suppressAutoHyphens/>
              <w:jc w:val="left"/>
              <w:rPr>
                <w:rFonts w:ascii="Arial" w:hAnsi="Arial" w:cs="Arial"/>
                <w:kern w:val="0"/>
                <w:szCs w:val="21"/>
              </w:rPr>
            </w:pPr>
            <w:r>
              <w:rPr>
                <w:rFonts w:ascii="Arial" w:hAnsi="Arial" w:cs="Arial"/>
                <w:kern w:val="0"/>
                <w:szCs w:val="21"/>
              </w:rPr>
              <w:t>税银子系统</w:t>
            </w:r>
          </w:p>
        </w:tc>
        <w:tc>
          <w:tcPr>
            <w:tcW w:w="860" w:type="pct"/>
            <w:noWrap/>
            <w:vAlign w:val="center"/>
          </w:tcPr>
          <w:p>
            <w:pPr>
              <w:widowControl/>
              <w:suppressAutoHyphens/>
              <w:jc w:val="left"/>
              <w:rPr>
                <w:rFonts w:ascii="Arial" w:hAnsi="Arial" w:cs="Arial"/>
                <w:kern w:val="0"/>
                <w:szCs w:val="21"/>
              </w:rPr>
            </w:pPr>
            <w:r>
              <w:rPr>
                <w:rFonts w:ascii="Arial" w:hAnsi="Arial" w:cs="Arial"/>
                <w:kern w:val="0"/>
                <w:szCs w:val="21"/>
              </w:rPr>
              <w:t>征收子系统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421" w:type="pct"/>
            <w:noWrap/>
            <w:vAlign w:val="center"/>
          </w:tcPr>
          <w:p>
            <w:pPr>
              <w:widowControl/>
              <w:suppressAutoHyphens/>
              <w:jc w:val="center"/>
              <w:rPr>
                <w:rFonts w:ascii="Arial" w:hAnsi="Arial" w:cs="Arial"/>
                <w:kern w:val="0"/>
                <w:szCs w:val="21"/>
              </w:rPr>
            </w:pPr>
            <w:r>
              <w:rPr>
                <w:rFonts w:ascii="Arial" w:hAnsi="Arial" w:cs="Arial"/>
                <w:kern w:val="0"/>
                <w:szCs w:val="21"/>
              </w:rPr>
              <w:t>16</w:t>
            </w:r>
          </w:p>
        </w:tc>
        <w:tc>
          <w:tcPr>
            <w:tcW w:w="891" w:type="pct"/>
            <w:vMerge w:val="restart"/>
            <w:noWrap/>
            <w:vAlign w:val="center"/>
          </w:tcPr>
          <w:p>
            <w:pPr>
              <w:widowControl/>
              <w:suppressAutoHyphens/>
              <w:jc w:val="center"/>
              <w:rPr>
                <w:rFonts w:ascii="Arial" w:hAnsi="Arial" w:cs="Arial"/>
                <w:kern w:val="0"/>
                <w:szCs w:val="21"/>
              </w:rPr>
            </w:pPr>
            <w:r>
              <w:rPr>
                <w:rFonts w:ascii="Arial" w:hAnsi="Arial" w:cs="Arial"/>
                <w:kern w:val="0"/>
                <w:szCs w:val="21"/>
              </w:rPr>
              <w:t>个人税务实时缴费业务</w:t>
            </w:r>
          </w:p>
        </w:tc>
        <w:tc>
          <w:tcPr>
            <w:tcW w:w="1829" w:type="pct"/>
            <w:noWrap/>
            <w:vAlign w:val="center"/>
          </w:tcPr>
          <w:p>
            <w:pPr>
              <w:widowControl/>
              <w:suppressAutoHyphens/>
              <w:jc w:val="left"/>
              <w:rPr>
                <w:rFonts w:ascii="Arial" w:hAnsi="Arial" w:cs="Arial"/>
                <w:kern w:val="0"/>
                <w:szCs w:val="21"/>
              </w:rPr>
            </w:pPr>
            <w:r>
              <w:rPr>
                <w:rFonts w:ascii="Arial" w:hAnsi="Arial" w:cs="Arial"/>
                <w:kern w:val="0"/>
                <w:szCs w:val="21"/>
              </w:rPr>
              <w:t>个人税务实时缴费请求</w:t>
            </w:r>
          </w:p>
        </w:tc>
        <w:tc>
          <w:tcPr>
            <w:tcW w:w="999" w:type="pct"/>
            <w:noWrap/>
            <w:vAlign w:val="center"/>
          </w:tcPr>
          <w:p>
            <w:pPr>
              <w:widowControl/>
              <w:suppressAutoHyphens/>
              <w:jc w:val="left"/>
              <w:rPr>
                <w:rFonts w:ascii="Arial" w:hAnsi="Arial" w:cs="Arial"/>
                <w:kern w:val="0"/>
                <w:szCs w:val="21"/>
              </w:rPr>
            </w:pPr>
            <w:r>
              <w:rPr>
                <w:rFonts w:ascii="Arial" w:hAnsi="Arial" w:cs="Arial"/>
                <w:kern w:val="0"/>
                <w:szCs w:val="21"/>
              </w:rPr>
              <w:t>征收子系统</w:t>
            </w:r>
          </w:p>
        </w:tc>
        <w:tc>
          <w:tcPr>
            <w:tcW w:w="860" w:type="pct"/>
            <w:noWrap/>
            <w:vAlign w:val="center"/>
          </w:tcPr>
          <w:p>
            <w:pPr>
              <w:widowControl/>
              <w:suppressAutoHyphens/>
              <w:jc w:val="left"/>
              <w:rPr>
                <w:rFonts w:ascii="Arial" w:hAnsi="Arial" w:cs="Arial"/>
                <w:kern w:val="0"/>
                <w:szCs w:val="21"/>
              </w:rPr>
            </w:pPr>
            <w:r>
              <w:rPr>
                <w:rFonts w:ascii="Arial" w:hAnsi="Arial" w:cs="Arial"/>
                <w:kern w:val="0"/>
                <w:szCs w:val="21"/>
              </w:rPr>
              <w:t>税库银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421" w:type="pct"/>
            <w:noWrap/>
            <w:vAlign w:val="center"/>
          </w:tcPr>
          <w:p>
            <w:pPr>
              <w:widowControl/>
              <w:suppressAutoHyphens/>
              <w:jc w:val="center"/>
              <w:rPr>
                <w:rFonts w:ascii="Arial" w:hAnsi="Arial" w:cs="Arial"/>
                <w:kern w:val="0"/>
                <w:szCs w:val="21"/>
              </w:rPr>
            </w:pPr>
            <w:r>
              <w:rPr>
                <w:rFonts w:ascii="Arial" w:hAnsi="Arial" w:cs="Arial"/>
                <w:kern w:val="0"/>
                <w:szCs w:val="21"/>
              </w:rPr>
              <w:t>17</w:t>
            </w:r>
          </w:p>
        </w:tc>
        <w:tc>
          <w:tcPr>
            <w:tcW w:w="891" w:type="pct"/>
            <w:vMerge w:val="continue"/>
            <w:vAlign w:val="center"/>
          </w:tcPr>
          <w:p>
            <w:pPr>
              <w:widowControl/>
              <w:suppressAutoHyphens/>
              <w:jc w:val="left"/>
              <w:rPr>
                <w:rFonts w:ascii="Arial" w:hAnsi="Arial" w:cs="Arial"/>
                <w:kern w:val="0"/>
                <w:szCs w:val="21"/>
              </w:rPr>
            </w:pPr>
          </w:p>
        </w:tc>
        <w:tc>
          <w:tcPr>
            <w:tcW w:w="1829" w:type="pct"/>
            <w:noWrap/>
            <w:vAlign w:val="center"/>
          </w:tcPr>
          <w:p>
            <w:pPr>
              <w:widowControl/>
              <w:suppressAutoHyphens/>
              <w:jc w:val="left"/>
              <w:rPr>
                <w:rFonts w:ascii="Arial" w:hAnsi="Arial" w:cs="Arial"/>
                <w:kern w:val="0"/>
                <w:szCs w:val="21"/>
              </w:rPr>
            </w:pPr>
            <w:r>
              <w:rPr>
                <w:rFonts w:ascii="Arial" w:hAnsi="Arial" w:cs="Arial"/>
                <w:kern w:val="0"/>
                <w:szCs w:val="21"/>
              </w:rPr>
              <w:t>个人税务实时缴费响应</w:t>
            </w:r>
          </w:p>
        </w:tc>
        <w:tc>
          <w:tcPr>
            <w:tcW w:w="999" w:type="pct"/>
            <w:noWrap/>
            <w:vAlign w:val="center"/>
          </w:tcPr>
          <w:p>
            <w:pPr>
              <w:widowControl/>
              <w:suppressAutoHyphens/>
              <w:jc w:val="left"/>
              <w:rPr>
                <w:rFonts w:ascii="Arial" w:hAnsi="Arial" w:cs="Arial"/>
                <w:kern w:val="0"/>
                <w:szCs w:val="21"/>
              </w:rPr>
            </w:pPr>
            <w:r>
              <w:rPr>
                <w:rFonts w:ascii="Arial" w:hAnsi="Arial" w:cs="Arial"/>
                <w:kern w:val="0"/>
                <w:szCs w:val="21"/>
              </w:rPr>
              <w:t>税库银</w:t>
            </w:r>
          </w:p>
        </w:tc>
        <w:tc>
          <w:tcPr>
            <w:tcW w:w="860" w:type="pct"/>
            <w:noWrap/>
            <w:vAlign w:val="center"/>
          </w:tcPr>
          <w:p>
            <w:pPr>
              <w:widowControl/>
              <w:suppressAutoHyphens/>
              <w:jc w:val="left"/>
              <w:rPr>
                <w:rFonts w:ascii="Arial" w:hAnsi="Arial" w:cs="Arial"/>
                <w:kern w:val="0"/>
                <w:szCs w:val="21"/>
              </w:rPr>
            </w:pPr>
            <w:r>
              <w:rPr>
                <w:rFonts w:ascii="Arial" w:hAnsi="Arial" w:cs="Arial"/>
                <w:kern w:val="0"/>
                <w:szCs w:val="21"/>
              </w:rPr>
              <w:t>征收子系统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421" w:type="pct"/>
            <w:noWrap/>
            <w:vAlign w:val="center"/>
          </w:tcPr>
          <w:p>
            <w:pPr>
              <w:widowControl/>
              <w:suppressAutoHyphens/>
              <w:jc w:val="center"/>
              <w:rPr>
                <w:rFonts w:ascii="Arial" w:hAnsi="Arial" w:cs="Arial"/>
                <w:kern w:val="0"/>
                <w:szCs w:val="21"/>
              </w:rPr>
            </w:pPr>
            <w:r>
              <w:rPr>
                <w:rFonts w:ascii="Arial" w:hAnsi="Arial" w:cs="Arial"/>
                <w:kern w:val="0"/>
                <w:szCs w:val="21"/>
              </w:rPr>
              <w:t>18</w:t>
            </w:r>
          </w:p>
        </w:tc>
        <w:tc>
          <w:tcPr>
            <w:tcW w:w="891" w:type="pct"/>
            <w:vMerge w:val="restart"/>
            <w:noWrap/>
            <w:vAlign w:val="center"/>
          </w:tcPr>
          <w:p>
            <w:pPr>
              <w:widowControl/>
              <w:suppressAutoHyphens/>
              <w:jc w:val="center"/>
              <w:rPr>
                <w:rFonts w:ascii="Arial" w:hAnsi="Arial" w:cs="Arial"/>
                <w:kern w:val="0"/>
                <w:szCs w:val="21"/>
              </w:rPr>
            </w:pPr>
            <w:r>
              <w:rPr>
                <w:rFonts w:ascii="Arial" w:hAnsi="Arial" w:cs="Arial"/>
                <w:kern w:val="0"/>
                <w:szCs w:val="21"/>
              </w:rPr>
              <w:t>个人税务税票状态查询业务</w:t>
            </w:r>
          </w:p>
        </w:tc>
        <w:tc>
          <w:tcPr>
            <w:tcW w:w="1829" w:type="pct"/>
            <w:noWrap/>
            <w:vAlign w:val="center"/>
          </w:tcPr>
          <w:p>
            <w:pPr>
              <w:widowControl/>
              <w:suppressAutoHyphens/>
              <w:jc w:val="left"/>
              <w:rPr>
                <w:rFonts w:ascii="Arial" w:hAnsi="Arial" w:cs="Arial"/>
                <w:kern w:val="0"/>
                <w:szCs w:val="21"/>
              </w:rPr>
            </w:pPr>
            <w:r>
              <w:rPr>
                <w:rFonts w:ascii="Arial" w:hAnsi="Arial" w:cs="Arial"/>
                <w:kern w:val="0"/>
                <w:szCs w:val="21"/>
              </w:rPr>
              <w:t>个人税务税票状态查询请求</w:t>
            </w:r>
          </w:p>
        </w:tc>
        <w:tc>
          <w:tcPr>
            <w:tcW w:w="999" w:type="pct"/>
            <w:noWrap/>
            <w:vAlign w:val="center"/>
          </w:tcPr>
          <w:p>
            <w:pPr>
              <w:widowControl/>
              <w:suppressAutoHyphens/>
              <w:jc w:val="left"/>
              <w:rPr>
                <w:rFonts w:ascii="Arial" w:hAnsi="Arial" w:cs="Arial"/>
                <w:kern w:val="0"/>
                <w:szCs w:val="21"/>
              </w:rPr>
            </w:pPr>
            <w:r>
              <w:rPr>
                <w:rFonts w:ascii="Arial" w:hAnsi="Arial" w:cs="Arial"/>
                <w:kern w:val="0"/>
                <w:szCs w:val="21"/>
              </w:rPr>
              <w:t>征收子系统</w:t>
            </w:r>
          </w:p>
        </w:tc>
        <w:tc>
          <w:tcPr>
            <w:tcW w:w="860" w:type="pct"/>
            <w:noWrap/>
            <w:vAlign w:val="center"/>
          </w:tcPr>
          <w:p>
            <w:pPr>
              <w:widowControl/>
              <w:suppressAutoHyphens/>
              <w:jc w:val="left"/>
              <w:rPr>
                <w:rFonts w:ascii="Arial" w:hAnsi="Arial" w:cs="Arial"/>
                <w:kern w:val="0"/>
                <w:szCs w:val="21"/>
              </w:rPr>
            </w:pPr>
            <w:r>
              <w:rPr>
                <w:rFonts w:ascii="Arial" w:hAnsi="Arial" w:cs="Arial"/>
                <w:kern w:val="0"/>
                <w:szCs w:val="21"/>
              </w:rPr>
              <w:t>税库银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421" w:type="pct"/>
            <w:noWrap/>
            <w:vAlign w:val="center"/>
          </w:tcPr>
          <w:p>
            <w:pPr>
              <w:widowControl/>
              <w:suppressAutoHyphens/>
              <w:jc w:val="center"/>
              <w:rPr>
                <w:rFonts w:ascii="Arial" w:hAnsi="Arial" w:cs="Arial"/>
                <w:kern w:val="0"/>
                <w:szCs w:val="21"/>
              </w:rPr>
            </w:pPr>
            <w:r>
              <w:rPr>
                <w:rFonts w:ascii="Arial" w:hAnsi="Arial" w:cs="Arial"/>
                <w:kern w:val="0"/>
                <w:szCs w:val="21"/>
              </w:rPr>
              <w:t>19</w:t>
            </w:r>
          </w:p>
        </w:tc>
        <w:tc>
          <w:tcPr>
            <w:tcW w:w="891" w:type="pct"/>
            <w:vMerge w:val="continue"/>
            <w:vAlign w:val="center"/>
          </w:tcPr>
          <w:p>
            <w:pPr>
              <w:widowControl/>
              <w:suppressAutoHyphens/>
              <w:jc w:val="left"/>
              <w:rPr>
                <w:rFonts w:ascii="Arial" w:hAnsi="Arial" w:cs="Arial"/>
                <w:kern w:val="0"/>
                <w:szCs w:val="21"/>
              </w:rPr>
            </w:pPr>
          </w:p>
        </w:tc>
        <w:tc>
          <w:tcPr>
            <w:tcW w:w="1829" w:type="pct"/>
            <w:noWrap/>
            <w:vAlign w:val="center"/>
          </w:tcPr>
          <w:p>
            <w:pPr>
              <w:widowControl/>
              <w:suppressAutoHyphens/>
              <w:jc w:val="left"/>
              <w:rPr>
                <w:rFonts w:ascii="Arial" w:hAnsi="Arial" w:cs="Arial"/>
                <w:kern w:val="0"/>
                <w:szCs w:val="21"/>
              </w:rPr>
            </w:pPr>
            <w:r>
              <w:rPr>
                <w:rFonts w:ascii="Arial" w:hAnsi="Arial" w:cs="Arial"/>
                <w:kern w:val="0"/>
                <w:szCs w:val="21"/>
              </w:rPr>
              <w:t>个人税务税票状态查询响应</w:t>
            </w:r>
          </w:p>
        </w:tc>
        <w:tc>
          <w:tcPr>
            <w:tcW w:w="999" w:type="pct"/>
            <w:noWrap/>
            <w:vAlign w:val="center"/>
          </w:tcPr>
          <w:p>
            <w:pPr>
              <w:widowControl/>
              <w:suppressAutoHyphens/>
              <w:jc w:val="left"/>
              <w:rPr>
                <w:rFonts w:ascii="Arial" w:hAnsi="Arial" w:cs="Arial"/>
                <w:kern w:val="0"/>
                <w:szCs w:val="21"/>
              </w:rPr>
            </w:pPr>
            <w:r>
              <w:rPr>
                <w:rFonts w:ascii="Arial" w:hAnsi="Arial" w:cs="Arial"/>
                <w:kern w:val="0"/>
                <w:szCs w:val="21"/>
              </w:rPr>
              <w:t>税库银</w:t>
            </w:r>
          </w:p>
        </w:tc>
        <w:tc>
          <w:tcPr>
            <w:tcW w:w="860" w:type="pct"/>
            <w:noWrap/>
            <w:vAlign w:val="center"/>
          </w:tcPr>
          <w:p>
            <w:pPr>
              <w:widowControl/>
              <w:suppressAutoHyphens/>
              <w:jc w:val="left"/>
              <w:rPr>
                <w:rFonts w:ascii="Arial" w:hAnsi="Arial" w:cs="Arial"/>
                <w:kern w:val="0"/>
                <w:szCs w:val="21"/>
              </w:rPr>
            </w:pPr>
            <w:r>
              <w:rPr>
                <w:rFonts w:ascii="Arial" w:hAnsi="Arial" w:cs="Arial"/>
                <w:kern w:val="0"/>
                <w:szCs w:val="21"/>
              </w:rPr>
              <w:t>征收子系统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421" w:type="pct"/>
            <w:noWrap/>
            <w:vAlign w:val="center"/>
          </w:tcPr>
          <w:p>
            <w:pPr>
              <w:widowControl/>
              <w:suppressAutoHyphens/>
              <w:jc w:val="center"/>
              <w:rPr>
                <w:rFonts w:ascii="Arial" w:hAnsi="Arial" w:cs="Arial"/>
                <w:kern w:val="0"/>
                <w:szCs w:val="21"/>
              </w:rPr>
            </w:pPr>
            <w:r>
              <w:rPr>
                <w:rFonts w:ascii="Arial" w:hAnsi="Arial" w:cs="Arial"/>
                <w:szCs w:val="21"/>
              </w:rPr>
              <w:t>20</w:t>
            </w:r>
          </w:p>
        </w:tc>
        <w:tc>
          <w:tcPr>
            <w:tcW w:w="891" w:type="pct"/>
            <w:vMerge w:val="restart"/>
            <w:vAlign w:val="center"/>
          </w:tcPr>
          <w:p>
            <w:pPr>
              <w:widowControl/>
              <w:suppressAutoHyphens/>
              <w:jc w:val="center"/>
              <w:rPr>
                <w:rFonts w:ascii="Arial" w:hAnsi="Arial" w:cs="Arial"/>
                <w:kern w:val="0"/>
                <w:szCs w:val="21"/>
              </w:rPr>
            </w:pPr>
            <w:r>
              <w:rPr>
                <w:rFonts w:ascii="Arial" w:hAnsi="Arial" w:cs="Arial"/>
                <w:kern w:val="0"/>
                <w:szCs w:val="21"/>
              </w:rPr>
              <w:t>个人银行缴费业务信息查询接口</w:t>
            </w:r>
          </w:p>
        </w:tc>
        <w:tc>
          <w:tcPr>
            <w:tcW w:w="1829" w:type="pct"/>
            <w:noWrap/>
            <w:vAlign w:val="center"/>
          </w:tcPr>
          <w:p>
            <w:pPr>
              <w:widowControl/>
              <w:suppressAutoHyphens/>
              <w:jc w:val="left"/>
              <w:rPr>
                <w:rFonts w:ascii="Arial" w:hAnsi="Arial" w:cs="Arial"/>
                <w:kern w:val="0"/>
                <w:szCs w:val="21"/>
              </w:rPr>
            </w:pPr>
            <w:r>
              <w:rPr>
                <w:rFonts w:ascii="Arial" w:hAnsi="Arial" w:cs="Arial"/>
                <w:szCs w:val="21"/>
              </w:rPr>
              <w:t>灵活就业人员缴费基数上下限及档次信息查询请求</w:t>
            </w:r>
          </w:p>
        </w:tc>
        <w:tc>
          <w:tcPr>
            <w:tcW w:w="999" w:type="pct"/>
            <w:noWrap/>
            <w:vAlign w:val="center"/>
          </w:tcPr>
          <w:p>
            <w:pPr>
              <w:widowControl/>
              <w:suppressAutoHyphens/>
              <w:jc w:val="left"/>
              <w:rPr>
                <w:rFonts w:ascii="Arial" w:hAnsi="Arial" w:cs="Arial"/>
                <w:kern w:val="0"/>
                <w:szCs w:val="21"/>
              </w:rPr>
            </w:pPr>
            <w:r>
              <w:rPr>
                <w:rFonts w:ascii="Arial" w:hAnsi="Arial" w:cs="Arial"/>
                <w:kern w:val="0"/>
                <w:szCs w:val="21"/>
              </w:rPr>
              <w:t>税银子系统</w:t>
            </w:r>
          </w:p>
        </w:tc>
        <w:tc>
          <w:tcPr>
            <w:tcW w:w="860" w:type="pct"/>
            <w:noWrap/>
            <w:vAlign w:val="center"/>
          </w:tcPr>
          <w:p>
            <w:pPr>
              <w:widowControl/>
              <w:suppressAutoHyphens/>
              <w:jc w:val="left"/>
              <w:rPr>
                <w:rFonts w:ascii="Arial" w:hAnsi="Arial" w:cs="Arial"/>
                <w:kern w:val="0"/>
                <w:szCs w:val="21"/>
              </w:rPr>
            </w:pPr>
            <w:r>
              <w:rPr>
                <w:rFonts w:ascii="Arial" w:hAnsi="Arial" w:cs="Arial"/>
                <w:kern w:val="0"/>
                <w:szCs w:val="21"/>
              </w:rPr>
              <w:t>管理子系统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421" w:type="pct"/>
            <w:noWrap/>
            <w:vAlign w:val="center"/>
          </w:tcPr>
          <w:p>
            <w:pPr>
              <w:suppressAutoHyphens/>
              <w:jc w:val="center"/>
              <w:rPr>
                <w:rFonts w:ascii="Arial" w:hAnsi="Arial" w:cs="Arial"/>
                <w:szCs w:val="21"/>
              </w:rPr>
            </w:pPr>
            <w:r>
              <w:rPr>
                <w:rFonts w:ascii="Arial" w:hAnsi="Arial" w:cs="Arial"/>
                <w:szCs w:val="21"/>
              </w:rPr>
              <w:t>21</w:t>
            </w:r>
          </w:p>
        </w:tc>
        <w:tc>
          <w:tcPr>
            <w:tcW w:w="891" w:type="pct"/>
            <w:vMerge w:val="continue"/>
            <w:vAlign w:val="center"/>
          </w:tcPr>
          <w:p>
            <w:pPr>
              <w:widowControl/>
              <w:suppressAutoHyphens/>
              <w:jc w:val="left"/>
              <w:rPr>
                <w:rFonts w:ascii="Arial" w:hAnsi="Arial" w:cs="Arial"/>
                <w:kern w:val="0"/>
                <w:szCs w:val="21"/>
              </w:rPr>
            </w:pPr>
          </w:p>
        </w:tc>
        <w:tc>
          <w:tcPr>
            <w:tcW w:w="1829" w:type="pct"/>
            <w:noWrap/>
            <w:vAlign w:val="center"/>
          </w:tcPr>
          <w:p>
            <w:pPr>
              <w:suppressAutoHyphens/>
              <w:rPr>
                <w:rFonts w:ascii="Arial" w:hAnsi="Arial" w:cs="Arial"/>
                <w:szCs w:val="21"/>
              </w:rPr>
            </w:pPr>
            <w:r>
              <w:rPr>
                <w:rFonts w:ascii="Arial" w:hAnsi="Arial" w:cs="Arial"/>
                <w:szCs w:val="21"/>
              </w:rPr>
              <w:t>灵活就业人员缴费基数上下限及档次信息查询响应</w:t>
            </w:r>
          </w:p>
        </w:tc>
        <w:tc>
          <w:tcPr>
            <w:tcW w:w="999" w:type="pct"/>
            <w:noWrap/>
            <w:vAlign w:val="center"/>
          </w:tcPr>
          <w:p>
            <w:pPr>
              <w:widowControl/>
              <w:suppressAutoHyphens/>
              <w:jc w:val="left"/>
              <w:rPr>
                <w:rFonts w:ascii="Arial" w:hAnsi="Arial" w:cs="Arial"/>
                <w:kern w:val="0"/>
                <w:szCs w:val="21"/>
              </w:rPr>
            </w:pPr>
            <w:r>
              <w:rPr>
                <w:rFonts w:ascii="Arial" w:hAnsi="Arial" w:cs="Arial"/>
                <w:kern w:val="0"/>
                <w:szCs w:val="21"/>
              </w:rPr>
              <w:t>管理子系统</w:t>
            </w:r>
          </w:p>
        </w:tc>
        <w:tc>
          <w:tcPr>
            <w:tcW w:w="860" w:type="pct"/>
            <w:noWrap/>
            <w:vAlign w:val="center"/>
          </w:tcPr>
          <w:p>
            <w:pPr>
              <w:widowControl/>
              <w:suppressAutoHyphens/>
              <w:jc w:val="left"/>
              <w:rPr>
                <w:rFonts w:ascii="Arial" w:hAnsi="Arial" w:cs="Arial"/>
                <w:kern w:val="0"/>
                <w:szCs w:val="21"/>
              </w:rPr>
            </w:pPr>
            <w:r>
              <w:rPr>
                <w:rFonts w:ascii="Arial" w:hAnsi="Arial" w:cs="Arial"/>
                <w:kern w:val="0"/>
                <w:szCs w:val="21"/>
              </w:rPr>
              <w:t>税银子系统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421" w:type="pct"/>
            <w:noWrap/>
            <w:vAlign w:val="center"/>
          </w:tcPr>
          <w:p>
            <w:pPr>
              <w:suppressAutoHyphens/>
              <w:jc w:val="center"/>
              <w:rPr>
                <w:rFonts w:ascii="Arial" w:hAnsi="Arial" w:cs="Arial"/>
                <w:szCs w:val="21"/>
              </w:rPr>
            </w:pPr>
            <w:r>
              <w:rPr>
                <w:rFonts w:ascii="Arial" w:hAnsi="Arial" w:cs="Arial"/>
                <w:szCs w:val="21"/>
              </w:rPr>
              <w:t>22</w:t>
            </w:r>
          </w:p>
        </w:tc>
        <w:tc>
          <w:tcPr>
            <w:tcW w:w="891" w:type="pct"/>
            <w:vMerge w:val="continue"/>
            <w:vAlign w:val="center"/>
          </w:tcPr>
          <w:p>
            <w:pPr>
              <w:widowControl/>
              <w:suppressAutoHyphens/>
              <w:jc w:val="left"/>
              <w:rPr>
                <w:rFonts w:ascii="Arial" w:hAnsi="Arial" w:cs="Arial"/>
                <w:kern w:val="0"/>
                <w:szCs w:val="21"/>
              </w:rPr>
            </w:pPr>
          </w:p>
        </w:tc>
        <w:tc>
          <w:tcPr>
            <w:tcW w:w="1829" w:type="pct"/>
            <w:noWrap/>
            <w:vAlign w:val="center"/>
          </w:tcPr>
          <w:p>
            <w:pPr>
              <w:suppressAutoHyphens/>
              <w:rPr>
                <w:rFonts w:ascii="Arial" w:hAnsi="Arial" w:cs="Arial"/>
                <w:szCs w:val="21"/>
              </w:rPr>
            </w:pPr>
            <w:r>
              <w:rPr>
                <w:rFonts w:ascii="Arial" w:hAnsi="Arial" w:cs="Arial"/>
                <w:szCs w:val="21"/>
              </w:rPr>
              <w:t>城乡居民缴费金额上下限及档次信息查询请求</w:t>
            </w:r>
          </w:p>
        </w:tc>
        <w:tc>
          <w:tcPr>
            <w:tcW w:w="999" w:type="pct"/>
            <w:noWrap/>
            <w:vAlign w:val="center"/>
          </w:tcPr>
          <w:p>
            <w:pPr>
              <w:widowControl/>
              <w:suppressAutoHyphens/>
              <w:jc w:val="left"/>
              <w:rPr>
                <w:rFonts w:ascii="Arial" w:hAnsi="Arial" w:cs="Arial"/>
                <w:kern w:val="0"/>
                <w:szCs w:val="21"/>
              </w:rPr>
            </w:pPr>
            <w:r>
              <w:rPr>
                <w:rFonts w:ascii="Arial" w:hAnsi="Arial" w:cs="Arial"/>
                <w:kern w:val="0"/>
                <w:szCs w:val="21"/>
              </w:rPr>
              <w:t>税银子系统</w:t>
            </w:r>
          </w:p>
        </w:tc>
        <w:tc>
          <w:tcPr>
            <w:tcW w:w="860" w:type="pct"/>
            <w:noWrap/>
            <w:vAlign w:val="center"/>
          </w:tcPr>
          <w:p>
            <w:pPr>
              <w:widowControl/>
              <w:suppressAutoHyphens/>
              <w:jc w:val="left"/>
              <w:rPr>
                <w:rFonts w:ascii="Arial" w:hAnsi="Arial" w:cs="Arial"/>
                <w:kern w:val="0"/>
                <w:szCs w:val="21"/>
              </w:rPr>
            </w:pPr>
            <w:r>
              <w:rPr>
                <w:rFonts w:ascii="Arial" w:hAnsi="Arial" w:cs="Arial"/>
                <w:kern w:val="0"/>
                <w:szCs w:val="21"/>
              </w:rPr>
              <w:t>管理子系统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421" w:type="pct"/>
            <w:noWrap/>
            <w:vAlign w:val="center"/>
          </w:tcPr>
          <w:p>
            <w:pPr>
              <w:suppressAutoHyphens/>
              <w:jc w:val="center"/>
              <w:rPr>
                <w:rFonts w:ascii="Arial" w:hAnsi="Arial" w:cs="Arial"/>
                <w:szCs w:val="21"/>
              </w:rPr>
            </w:pPr>
            <w:r>
              <w:rPr>
                <w:rFonts w:ascii="Arial" w:hAnsi="Arial" w:cs="Arial"/>
                <w:szCs w:val="21"/>
              </w:rPr>
              <w:t>23</w:t>
            </w:r>
          </w:p>
        </w:tc>
        <w:tc>
          <w:tcPr>
            <w:tcW w:w="891" w:type="pct"/>
            <w:vMerge w:val="continue"/>
            <w:vAlign w:val="center"/>
          </w:tcPr>
          <w:p>
            <w:pPr>
              <w:widowControl/>
              <w:suppressAutoHyphens/>
              <w:jc w:val="left"/>
              <w:rPr>
                <w:rFonts w:ascii="Arial" w:hAnsi="Arial" w:cs="Arial"/>
                <w:kern w:val="0"/>
                <w:szCs w:val="21"/>
              </w:rPr>
            </w:pPr>
          </w:p>
        </w:tc>
        <w:tc>
          <w:tcPr>
            <w:tcW w:w="1829" w:type="pct"/>
            <w:noWrap/>
            <w:vAlign w:val="center"/>
          </w:tcPr>
          <w:p>
            <w:pPr>
              <w:suppressAutoHyphens/>
              <w:rPr>
                <w:rFonts w:ascii="Arial" w:hAnsi="Arial" w:cs="Arial"/>
                <w:szCs w:val="21"/>
              </w:rPr>
            </w:pPr>
            <w:r>
              <w:rPr>
                <w:rFonts w:ascii="Arial" w:hAnsi="Arial" w:cs="Arial"/>
                <w:szCs w:val="21"/>
              </w:rPr>
              <w:t>城乡居民缴费金额上下限及档次信息查询响应</w:t>
            </w:r>
          </w:p>
        </w:tc>
        <w:tc>
          <w:tcPr>
            <w:tcW w:w="999" w:type="pct"/>
            <w:noWrap/>
            <w:vAlign w:val="center"/>
          </w:tcPr>
          <w:p>
            <w:pPr>
              <w:widowControl/>
              <w:suppressAutoHyphens/>
              <w:jc w:val="left"/>
              <w:rPr>
                <w:rFonts w:ascii="Arial" w:hAnsi="Arial" w:cs="Arial"/>
                <w:kern w:val="0"/>
                <w:szCs w:val="21"/>
              </w:rPr>
            </w:pPr>
            <w:r>
              <w:rPr>
                <w:rFonts w:ascii="Arial" w:hAnsi="Arial" w:cs="Arial"/>
                <w:kern w:val="0"/>
                <w:szCs w:val="21"/>
              </w:rPr>
              <w:t>管理子系统</w:t>
            </w:r>
          </w:p>
        </w:tc>
        <w:tc>
          <w:tcPr>
            <w:tcW w:w="860" w:type="pct"/>
            <w:noWrap/>
            <w:vAlign w:val="center"/>
          </w:tcPr>
          <w:p>
            <w:pPr>
              <w:widowControl/>
              <w:suppressAutoHyphens/>
              <w:jc w:val="left"/>
              <w:rPr>
                <w:rFonts w:ascii="Arial" w:hAnsi="Arial" w:cs="Arial"/>
                <w:kern w:val="0"/>
                <w:szCs w:val="21"/>
              </w:rPr>
            </w:pPr>
            <w:r>
              <w:rPr>
                <w:rFonts w:ascii="Arial" w:hAnsi="Arial" w:cs="Arial"/>
                <w:kern w:val="0"/>
                <w:szCs w:val="21"/>
              </w:rPr>
              <w:t>税银子系统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421" w:type="pct"/>
            <w:noWrap/>
            <w:vAlign w:val="center"/>
          </w:tcPr>
          <w:p>
            <w:pPr>
              <w:suppressAutoHyphens/>
              <w:jc w:val="center"/>
              <w:rPr>
                <w:rFonts w:ascii="Arial" w:hAnsi="Arial" w:cs="Arial"/>
                <w:szCs w:val="21"/>
              </w:rPr>
            </w:pPr>
            <w:r>
              <w:rPr>
                <w:rFonts w:ascii="Arial" w:hAnsi="Arial" w:cs="Arial"/>
                <w:szCs w:val="21"/>
              </w:rPr>
              <w:t>24</w:t>
            </w:r>
          </w:p>
        </w:tc>
        <w:tc>
          <w:tcPr>
            <w:tcW w:w="891" w:type="pct"/>
            <w:vMerge w:val="restart"/>
            <w:vAlign w:val="center"/>
          </w:tcPr>
          <w:p>
            <w:pPr>
              <w:widowControl/>
              <w:suppressAutoHyphens/>
              <w:jc w:val="center"/>
              <w:rPr>
                <w:rFonts w:ascii="Arial" w:hAnsi="Arial" w:cs="Arial"/>
                <w:kern w:val="0"/>
                <w:szCs w:val="21"/>
              </w:rPr>
            </w:pPr>
            <w:r>
              <w:rPr>
                <w:rFonts w:ascii="Arial" w:hAnsi="Arial" w:cs="Arial"/>
                <w:kern w:val="0"/>
                <w:szCs w:val="21"/>
              </w:rPr>
              <w:t>个人银行灵活就业缴费基数确认接口</w:t>
            </w:r>
          </w:p>
        </w:tc>
        <w:tc>
          <w:tcPr>
            <w:tcW w:w="1829" w:type="pct"/>
            <w:noWrap/>
            <w:vAlign w:val="center"/>
          </w:tcPr>
          <w:p>
            <w:pPr>
              <w:widowControl/>
              <w:suppressAutoHyphens/>
              <w:jc w:val="left"/>
              <w:rPr>
                <w:rFonts w:ascii="Arial" w:hAnsi="Arial" w:cs="Arial"/>
                <w:kern w:val="0"/>
                <w:szCs w:val="21"/>
              </w:rPr>
            </w:pPr>
            <w:r>
              <w:rPr>
                <w:rFonts w:ascii="Arial" w:hAnsi="Arial" w:cs="Arial"/>
                <w:szCs w:val="21"/>
              </w:rPr>
              <w:t>个人银行灵活就业缴费基数确认请求</w:t>
            </w:r>
          </w:p>
        </w:tc>
        <w:tc>
          <w:tcPr>
            <w:tcW w:w="999" w:type="pct"/>
            <w:noWrap/>
            <w:vAlign w:val="center"/>
          </w:tcPr>
          <w:p>
            <w:pPr>
              <w:widowControl/>
              <w:suppressAutoHyphens/>
              <w:jc w:val="left"/>
              <w:rPr>
                <w:rFonts w:ascii="Arial" w:hAnsi="Arial" w:cs="Arial"/>
                <w:kern w:val="0"/>
                <w:szCs w:val="21"/>
              </w:rPr>
            </w:pPr>
            <w:r>
              <w:rPr>
                <w:rFonts w:ascii="Arial" w:hAnsi="Arial" w:cs="Arial"/>
                <w:szCs w:val="21"/>
              </w:rPr>
              <w:t>税银子系统</w:t>
            </w:r>
          </w:p>
        </w:tc>
        <w:tc>
          <w:tcPr>
            <w:tcW w:w="860" w:type="pct"/>
            <w:noWrap/>
            <w:vAlign w:val="center"/>
          </w:tcPr>
          <w:p>
            <w:pPr>
              <w:suppressAutoHyphens/>
              <w:rPr>
                <w:rFonts w:ascii="Arial" w:hAnsi="Arial" w:cs="Arial"/>
                <w:szCs w:val="21"/>
              </w:rPr>
            </w:pPr>
            <w:r>
              <w:rPr>
                <w:rFonts w:ascii="Arial" w:hAnsi="Arial" w:cs="Arial"/>
                <w:szCs w:val="21"/>
              </w:rPr>
              <w:t>管理子系统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421" w:type="pct"/>
            <w:noWrap/>
            <w:vAlign w:val="center"/>
          </w:tcPr>
          <w:p>
            <w:pPr>
              <w:suppressAutoHyphens/>
              <w:jc w:val="center"/>
              <w:rPr>
                <w:rFonts w:ascii="Arial" w:hAnsi="Arial" w:cs="Arial"/>
                <w:szCs w:val="21"/>
              </w:rPr>
            </w:pPr>
            <w:r>
              <w:rPr>
                <w:rFonts w:ascii="Arial" w:hAnsi="Arial" w:cs="Arial"/>
                <w:szCs w:val="21"/>
              </w:rPr>
              <w:t>25</w:t>
            </w:r>
          </w:p>
        </w:tc>
        <w:tc>
          <w:tcPr>
            <w:tcW w:w="891" w:type="pct"/>
            <w:vMerge w:val="continue"/>
            <w:vAlign w:val="center"/>
          </w:tcPr>
          <w:p>
            <w:pPr>
              <w:widowControl/>
              <w:suppressAutoHyphens/>
              <w:jc w:val="left"/>
              <w:rPr>
                <w:rFonts w:ascii="Arial" w:hAnsi="Arial" w:cs="Arial"/>
                <w:kern w:val="0"/>
                <w:szCs w:val="21"/>
              </w:rPr>
            </w:pPr>
          </w:p>
        </w:tc>
        <w:tc>
          <w:tcPr>
            <w:tcW w:w="1829" w:type="pct"/>
            <w:noWrap/>
            <w:vAlign w:val="center"/>
          </w:tcPr>
          <w:p>
            <w:pPr>
              <w:suppressAutoHyphens/>
              <w:rPr>
                <w:rFonts w:ascii="Arial" w:hAnsi="Arial" w:cs="Arial"/>
                <w:szCs w:val="21"/>
              </w:rPr>
            </w:pPr>
            <w:r>
              <w:rPr>
                <w:rFonts w:ascii="Arial" w:hAnsi="Arial" w:cs="Arial"/>
                <w:szCs w:val="21"/>
              </w:rPr>
              <w:t>个人银行灵活就业缴费基数确认响应</w:t>
            </w:r>
          </w:p>
        </w:tc>
        <w:tc>
          <w:tcPr>
            <w:tcW w:w="999" w:type="pct"/>
            <w:noWrap/>
            <w:vAlign w:val="center"/>
          </w:tcPr>
          <w:p>
            <w:pPr>
              <w:suppressAutoHyphens/>
              <w:rPr>
                <w:rFonts w:ascii="Arial" w:hAnsi="Arial" w:cs="Arial"/>
                <w:szCs w:val="21"/>
              </w:rPr>
            </w:pPr>
            <w:r>
              <w:rPr>
                <w:rFonts w:ascii="Arial" w:hAnsi="Arial" w:cs="Arial"/>
                <w:szCs w:val="21"/>
              </w:rPr>
              <w:t>管理子系统</w:t>
            </w:r>
          </w:p>
        </w:tc>
        <w:tc>
          <w:tcPr>
            <w:tcW w:w="860" w:type="pct"/>
            <w:noWrap/>
            <w:vAlign w:val="center"/>
          </w:tcPr>
          <w:p>
            <w:pPr>
              <w:suppressAutoHyphens/>
              <w:rPr>
                <w:rFonts w:ascii="Arial" w:hAnsi="Arial" w:cs="Arial"/>
                <w:szCs w:val="21"/>
              </w:rPr>
            </w:pPr>
            <w:r>
              <w:rPr>
                <w:rFonts w:ascii="Arial" w:hAnsi="Arial" w:cs="Arial"/>
                <w:szCs w:val="21"/>
              </w:rPr>
              <w:t>税银子系统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421" w:type="pct"/>
            <w:noWrap/>
            <w:vAlign w:val="center"/>
          </w:tcPr>
          <w:p>
            <w:pPr>
              <w:suppressAutoHyphens/>
              <w:jc w:val="center"/>
              <w:rPr>
                <w:rFonts w:ascii="Arial" w:hAnsi="Arial" w:cs="Arial"/>
                <w:szCs w:val="21"/>
              </w:rPr>
            </w:pPr>
            <w:r>
              <w:rPr>
                <w:rFonts w:ascii="Arial" w:hAnsi="Arial" w:cs="Arial"/>
                <w:szCs w:val="21"/>
              </w:rPr>
              <w:t>26</w:t>
            </w:r>
          </w:p>
        </w:tc>
        <w:tc>
          <w:tcPr>
            <w:tcW w:w="891" w:type="pct"/>
            <w:vMerge w:val="restart"/>
            <w:vAlign w:val="center"/>
          </w:tcPr>
          <w:p>
            <w:pPr>
              <w:widowControl/>
              <w:suppressAutoHyphens/>
              <w:jc w:val="left"/>
              <w:rPr>
                <w:rFonts w:ascii="Arial" w:hAnsi="Arial" w:cs="Arial"/>
                <w:kern w:val="0"/>
                <w:szCs w:val="21"/>
              </w:rPr>
            </w:pPr>
            <w:r>
              <w:rPr>
                <w:rFonts w:ascii="Arial" w:hAnsi="Arial" w:cs="Arial"/>
                <w:kern w:val="0"/>
                <w:szCs w:val="21"/>
              </w:rPr>
              <w:t>个人银行城乡居民应缴费额确认接口</w:t>
            </w:r>
          </w:p>
        </w:tc>
        <w:tc>
          <w:tcPr>
            <w:tcW w:w="1829" w:type="pct"/>
            <w:noWrap/>
            <w:vAlign w:val="center"/>
          </w:tcPr>
          <w:p>
            <w:pPr>
              <w:suppressAutoHyphens/>
              <w:rPr>
                <w:rFonts w:ascii="Arial" w:hAnsi="Arial" w:cs="Arial"/>
                <w:szCs w:val="21"/>
              </w:rPr>
            </w:pPr>
            <w:r>
              <w:rPr>
                <w:rFonts w:ascii="Arial" w:hAnsi="Arial" w:cs="Arial"/>
                <w:szCs w:val="21"/>
              </w:rPr>
              <w:t>个人银行城乡居民应缴费额确认请求</w:t>
            </w:r>
          </w:p>
        </w:tc>
        <w:tc>
          <w:tcPr>
            <w:tcW w:w="999" w:type="pct"/>
            <w:noWrap/>
            <w:vAlign w:val="center"/>
          </w:tcPr>
          <w:p>
            <w:pPr>
              <w:suppressAutoHyphens/>
              <w:rPr>
                <w:rFonts w:ascii="Arial" w:hAnsi="Arial" w:cs="Arial"/>
                <w:szCs w:val="21"/>
              </w:rPr>
            </w:pPr>
            <w:r>
              <w:rPr>
                <w:rFonts w:ascii="Arial" w:hAnsi="Arial" w:cs="Arial"/>
                <w:szCs w:val="21"/>
              </w:rPr>
              <w:t>税银子系统</w:t>
            </w:r>
          </w:p>
        </w:tc>
        <w:tc>
          <w:tcPr>
            <w:tcW w:w="860" w:type="pct"/>
            <w:noWrap/>
            <w:vAlign w:val="center"/>
          </w:tcPr>
          <w:p>
            <w:pPr>
              <w:suppressAutoHyphens/>
              <w:rPr>
                <w:rFonts w:ascii="Arial" w:hAnsi="Arial" w:cs="Arial"/>
                <w:szCs w:val="21"/>
              </w:rPr>
            </w:pPr>
            <w:r>
              <w:rPr>
                <w:rFonts w:ascii="Arial" w:hAnsi="Arial" w:cs="Arial"/>
                <w:szCs w:val="21"/>
              </w:rPr>
              <w:t>管理子系统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421" w:type="pct"/>
            <w:noWrap/>
            <w:vAlign w:val="center"/>
          </w:tcPr>
          <w:p>
            <w:pPr>
              <w:suppressAutoHyphens/>
              <w:jc w:val="center"/>
              <w:rPr>
                <w:rFonts w:ascii="Arial" w:hAnsi="Arial" w:cs="Arial"/>
                <w:szCs w:val="21"/>
              </w:rPr>
            </w:pPr>
            <w:r>
              <w:rPr>
                <w:rFonts w:ascii="Arial" w:hAnsi="Arial" w:cs="Arial"/>
                <w:szCs w:val="21"/>
              </w:rPr>
              <w:t>27</w:t>
            </w:r>
          </w:p>
        </w:tc>
        <w:tc>
          <w:tcPr>
            <w:tcW w:w="891" w:type="pct"/>
            <w:vMerge w:val="continue"/>
            <w:vAlign w:val="center"/>
          </w:tcPr>
          <w:p>
            <w:pPr>
              <w:widowControl/>
              <w:suppressAutoHyphens/>
              <w:jc w:val="left"/>
              <w:rPr>
                <w:rFonts w:ascii="Arial" w:hAnsi="Arial" w:cs="Arial"/>
                <w:kern w:val="0"/>
                <w:szCs w:val="21"/>
              </w:rPr>
            </w:pPr>
          </w:p>
        </w:tc>
        <w:tc>
          <w:tcPr>
            <w:tcW w:w="1829" w:type="pct"/>
            <w:noWrap/>
            <w:vAlign w:val="center"/>
          </w:tcPr>
          <w:p>
            <w:pPr>
              <w:suppressAutoHyphens/>
              <w:rPr>
                <w:rFonts w:ascii="Arial" w:hAnsi="Arial" w:cs="Arial"/>
                <w:szCs w:val="21"/>
              </w:rPr>
            </w:pPr>
            <w:r>
              <w:rPr>
                <w:rFonts w:ascii="Arial" w:hAnsi="Arial" w:cs="Arial"/>
                <w:szCs w:val="21"/>
              </w:rPr>
              <w:t>个人银行城乡居民应缴费额确认响应</w:t>
            </w:r>
          </w:p>
        </w:tc>
        <w:tc>
          <w:tcPr>
            <w:tcW w:w="999" w:type="pct"/>
            <w:noWrap/>
            <w:vAlign w:val="center"/>
          </w:tcPr>
          <w:p>
            <w:pPr>
              <w:suppressAutoHyphens/>
              <w:rPr>
                <w:rFonts w:ascii="Arial" w:hAnsi="Arial" w:cs="Arial"/>
                <w:szCs w:val="21"/>
              </w:rPr>
            </w:pPr>
            <w:r>
              <w:rPr>
                <w:rFonts w:ascii="Arial" w:hAnsi="Arial" w:cs="Arial"/>
                <w:szCs w:val="21"/>
              </w:rPr>
              <w:t>管理子系统</w:t>
            </w:r>
          </w:p>
        </w:tc>
        <w:tc>
          <w:tcPr>
            <w:tcW w:w="860" w:type="pct"/>
            <w:noWrap/>
            <w:vAlign w:val="center"/>
          </w:tcPr>
          <w:p>
            <w:pPr>
              <w:suppressAutoHyphens/>
              <w:rPr>
                <w:rFonts w:ascii="Arial" w:hAnsi="Arial" w:cs="Arial"/>
                <w:szCs w:val="21"/>
              </w:rPr>
            </w:pPr>
            <w:r>
              <w:rPr>
                <w:rFonts w:ascii="Arial" w:hAnsi="Arial" w:cs="Arial"/>
                <w:szCs w:val="21"/>
              </w:rPr>
              <w:t>税银子系统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421" w:type="pct"/>
            <w:noWrap/>
            <w:vAlign w:val="center"/>
          </w:tcPr>
          <w:p>
            <w:pPr>
              <w:suppressAutoHyphens/>
              <w:jc w:val="center"/>
              <w:rPr>
                <w:rFonts w:ascii="Arial" w:hAnsi="Arial" w:cs="Arial"/>
                <w:szCs w:val="21"/>
              </w:rPr>
            </w:pPr>
            <w:r>
              <w:rPr>
                <w:rFonts w:ascii="Arial" w:hAnsi="Arial" w:cs="Arial"/>
                <w:szCs w:val="21"/>
              </w:rPr>
              <w:t>28</w:t>
            </w:r>
          </w:p>
        </w:tc>
        <w:tc>
          <w:tcPr>
            <w:tcW w:w="891" w:type="pct"/>
            <w:vMerge w:val="restart"/>
            <w:vAlign w:val="center"/>
          </w:tcPr>
          <w:p>
            <w:pPr>
              <w:widowControl/>
              <w:suppressAutoHyphens/>
              <w:jc w:val="center"/>
              <w:rPr>
                <w:rFonts w:ascii="Arial" w:hAnsi="Arial" w:cs="Arial"/>
                <w:kern w:val="0"/>
                <w:szCs w:val="21"/>
              </w:rPr>
            </w:pPr>
            <w:r>
              <w:rPr>
                <w:rFonts w:ascii="Arial" w:hAnsi="Arial" w:cs="Arial"/>
                <w:kern w:val="0"/>
                <w:szCs w:val="21"/>
              </w:rPr>
              <w:t>个人银行参保查询（姓名非必填）接口</w:t>
            </w:r>
          </w:p>
        </w:tc>
        <w:tc>
          <w:tcPr>
            <w:tcW w:w="1829" w:type="pct"/>
            <w:noWrap/>
            <w:vAlign w:val="center"/>
          </w:tcPr>
          <w:p>
            <w:pPr>
              <w:widowControl/>
              <w:suppressAutoHyphens/>
              <w:jc w:val="left"/>
              <w:rPr>
                <w:rFonts w:ascii="Arial" w:hAnsi="Arial" w:cs="Arial"/>
                <w:kern w:val="0"/>
                <w:szCs w:val="21"/>
              </w:rPr>
            </w:pPr>
            <w:r>
              <w:rPr>
                <w:rFonts w:ascii="Arial" w:hAnsi="Arial" w:cs="Arial"/>
                <w:kern w:val="0"/>
                <w:szCs w:val="21"/>
              </w:rPr>
              <w:t>个人银行缴费参保查询（姓名非必填）请求</w:t>
            </w:r>
          </w:p>
        </w:tc>
        <w:tc>
          <w:tcPr>
            <w:tcW w:w="999" w:type="pct"/>
            <w:noWrap/>
            <w:vAlign w:val="center"/>
          </w:tcPr>
          <w:p>
            <w:pPr>
              <w:widowControl/>
              <w:suppressAutoHyphens/>
              <w:jc w:val="left"/>
              <w:rPr>
                <w:rFonts w:ascii="Arial" w:hAnsi="Arial" w:cs="Arial"/>
                <w:kern w:val="0"/>
                <w:szCs w:val="21"/>
              </w:rPr>
            </w:pPr>
            <w:r>
              <w:rPr>
                <w:rFonts w:ascii="Arial" w:hAnsi="Arial" w:cs="Arial"/>
                <w:szCs w:val="21"/>
              </w:rPr>
              <w:t>税银子系统</w:t>
            </w:r>
          </w:p>
        </w:tc>
        <w:tc>
          <w:tcPr>
            <w:tcW w:w="860" w:type="pct"/>
            <w:noWrap/>
            <w:vAlign w:val="center"/>
          </w:tcPr>
          <w:p>
            <w:pPr>
              <w:suppressAutoHyphens/>
              <w:rPr>
                <w:rFonts w:ascii="Arial" w:hAnsi="Arial" w:cs="Arial"/>
                <w:szCs w:val="21"/>
              </w:rPr>
            </w:pPr>
            <w:r>
              <w:rPr>
                <w:rFonts w:ascii="Arial" w:hAnsi="Arial" w:cs="Arial"/>
                <w:szCs w:val="21"/>
              </w:rPr>
              <w:t>管理子系统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421" w:type="pct"/>
            <w:noWrap/>
            <w:vAlign w:val="center"/>
          </w:tcPr>
          <w:p>
            <w:pPr>
              <w:suppressAutoHyphens/>
              <w:jc w:val="center"/>
              <w:rPr>
                <w:rFonts w:ascii="Arial" w:hAnsi="Arial" w:cs="Arial"/>
                <w:szCs w:val="21"/>
              </w:rPr>
            </w:pPr>
            <w:r>
              <w:rPr>
                <w:rFonts w:ascii="Arial" w:hAnsi="Arial" w:cs="Arial"/>
                <w:szCs w:val="21"/>
              </w:rPr>
              <w:t>29</w:t>
            </w:r>
          </w:p>
        </w:tc>
        <w:tc>
          <w:tcPr>
            <w:tcW w:w="891" w:type="pct"/>
            <w:vMerge w:val="continue"/>
            <w:vAlign w:val="center"/>
          </w:tcPr>
          <w:p>
            <w:pPr>
              <w:widowControl/>
              <w:suppressAutoHyphens/>
              <w:jc w:val="left"/>
              <w:rPr>
                <w:rFonts w:ascii="Arial" w:hAnsi="Arial" w:cs="Arial"/>
                <w:kern w:val="0"/>
                <w:szCs w:val="21"/>
              </w:rPr>
            </w:pPr>
          </w:p>
        </w:tc>
        <w:tc>
          <w:tcPr>
            <w:tcW w:w="1829" w:type="pct"/>
            <w:noWrap/>
            <w:vAlign w:val="center"/>
          </w:tcPr>
          <w:p>
            <w:pPr>
              <w:widowControl/>
              <w:suppressAutoHyphens/>
              <w:jc w:val="left"/>
              <w:rPr>
                <w:rFonts w:ascii="Arial" w:hAnsi="Arial" w:cs="Arial"/>
                <w:kern w:val="0"/>
                <w:szCs w:val="21"/>
              </w:rPr>
            </w:pPr>
            <w:r>
              <w:rPr>
                <w:rFonts w:ascii="Arial" w:hAnsi="Arial" w:cs="Arial"/>
                <w:kern w:val="0"/>
                <w:szCs w:val="21"/>
              </w:rPr>
              <w:t>个人银行缴费参保查询（姓名非必填）响应</w:t>
            </w:r>
          </w:p>
        </w:tc>
        <w:tc>
          <w:tcPr>
            <w:tcW w:w="999" w:type="pct"/>
            <w:noWrap/>
            <w:vAlign w:val="center"/>
          </w:tcPr>
          <w:p>
            <w:pPr>
              <w:suppressAutoHyphens/>
              <w:rPr>
                <w:rFonts w:ascii="Arial" w:hAnsi="Arial" w:cs="Arial"/>
                <w:szCs w:val="21"/>
              </w:rPr>
            </w:pPr>
            <w:r>
              <w:rPr>
                <w:rFonts w:ascii="Arial" w:hAnsi="Arial" w:cs="Arial"/>
                <w:szCs w:val="21"/>
              </w:rPr>
              <w:t>管理子系统</w:t>
            </w:r>
          </w:p>
        </w:tc>
        <w:tc>
          <w:tcPr>
            <w:tcW w:w="860" w:type="pct"/>
            <w:noWrap/>
            <w:vAlign w:val="center"/>
          </w:tcPr>
          <w:p>
            <w:pPr>
              <w:suppressAutoHyphens/>
              <w:rPr>
                <w:rFonts w:ascii="Arial" w:hAnsi="Arial" w:cs="Arial"/>
                <w:szCs w:val="21"/>
              </w:rPr>
            </w:pPr>
            <w:r>
              <w:rPr>
                <w:rFonts w:ascii="Arial" w:hAnsi="Arial" w:cs="Arial"/>
                <w:szCs w:val="21"/>
              </w:rPr>
              <w:t>税银子系统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421" w:type="pct"/>
            <w:noWrap/>
            <w:vAlign w:val="center"/>
          </w:tcPr>
          <w:p>
            <w:pPr>
              <w:suppressAutoHyphens/>
              <w:jc w:val="center"/>
              <w:rPr>
                <w:rFonts w:ascii="Arial" w:hAnsi="Arial" w:cs="Arial"/>
                <w:szCs w:val="21"/>
              </w:rPr>
            </w:pPr>
            <w:r>
              <w:rPr>
                <w:rFonts w:ascii="Arial" w:hAnsi="Arial" w:cs="Arial"/>
                <w:szCs w:val="21"/>
              </w:rPr>
              <w:t>30</w:t>
            </w:r>
          </w:p>
        </w:tc>
        <w:tc>
          <w:tcPr>
            <w:tcW w:w="891" w:type="pct"/>
            <w:vMerge w:val="restart"/>
            <w:vAlign w:val="center"/>
          </w:tcPr>
          <w:p>
            <w:pPr>
              <w:widowControl/>
              <w:suppressAutoHyphens/>
              <w:jc w:val="left"/>
              <w:rPr>
                <w:rFonts w:ascii="Arial" w:hAnsi="Arial" w:cs="Arial"/>
                <w:kern w:val="0"/>
                <w:szCs w:val="21"/>
              </w:rPr>
            </w:pPr>
            <w:r>
              <w:rPr>
                <w:rFonts w:ascii="Arial" w:hAnsi="Arial" w:cs="Arial"/>
                <w:kern w:val="0"/>
                <w:szCs w:val="21"/>
              </w:rPr>
              <w:t>个人银行缴费扣款结果交易状态查询接口</w:t>
            </w:r>
          </w:p>
        </w:tc>
        <w:tc>
          <w:tcPr>
            <w:tcW w:w="1829" w:type="pct"/>
            <w:noWrap/>
            <w:vAlign w:val="center"/>
          </w:tcPr>
          <w:p>
            <w:pPr>
              <w:widowControl/>
              <w:suppressAutoHyphens/>
              <w:jc w:val="left"/>
              <w:rPr>
                <w:rFonts w:ascii="Arial" w:hAnsi="Arial" w:cs="Arial"/>
                <w:kern w:val="0"/>
                <w:szCs w:val="21"/>
              </w:rPr>
            </w:pPr>
            <w:r>
              <w:rPr>
                <w:rFonts w:ascii="Arial" w:hAnsi="Arial" w:cs="Arial"/>
                <w:kern w:val="0"/>
                <w:szCs w:val="21"/>
              </w:rPr>
              <w:t>个人银行缴费扣款结果状态查询请求</w:t>
            </w:r>
          </w:p>
        </w:tc>
        <w:tc>
          <w:tcPr>
            <w:tcW w:w="999" w:type="pct"/>
            <w:noWrap/>
            <w:vAlign w:val="center"/>
          </w:tcPr>
          <w:p>
            <w:pPr>
              <w:suppressAutoHyphens/>
              <w:rPr>
                <w:rFonts w:ascii="Arial" w:hAnsi="Arial" w:cs="Arial"/>
                <w:szCs w:val="21"/>
              </w:rPr>
            </w:pPr>
            <w:r>
              <w:rPr>
                <w:rFonts w:ascii="Arial" w:hAnsi="Arial" w:cs="Arial"/>
                <w:szCs w:val="21"/>
              </w:rPr>
              <w:t>税银子系统</w:t>
            </w:r>
          </w:p>
        </w:tc>
        <w:tc>
          <w:tcPr>
            <w:tcW w:w="860" w:type="pct"/>
            <w:noWrap/>
            <w:vAlign w:val="center"/>
          </w:tcPr>
          <w:p>
            <w:pPr>
              <w:suppressAutoHyphens/>
              <w:rPr>
                <w:rFonts w:ascii="Arial" w:hAnsi="Arial" w:cs="Arial"/>
                <w:szCs w:val="21"/>
              </w:rPr>
            </w:pPr>
            <w:r>
              <w:rPr>
                <w:rFonts w:ascii="Arial" w:hAnsi="Arial" w:cs="Arial"/>
                <w:szCs w:val="21"/>
              </w:rPr>
              <w:t>管理子系统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421" w:type="pct"/>
            <w:noWrap/>
            <w:vAlign w:val="center"/>
          </w:tcPr>
          <w:p>
            <w:pPr>
              <w:suppressAutoHyphens/>
              <w:jc w:val="center"/>
              <w:rPr>
                <w:rFonts w:ascii="Arial" w:hAnsi="Arial" w:cs="Arial"/>
                <w:szCs w:val="21"/>
              </w:rPr>
            </w:pPr>
            <w:r>
              <w:rPr>
                <w:rFonts w:ascii="Arial" w:hAnsi="Arial" w:cs="Arial"/>
                <w:szCs w:val="21"/>
              </w:rPr>
              <w:t>31</w:t>
            </w:r>
          </w:p>
        </w:tc>
        <w:tc>
          <w:tcPr>
            <w:tcW w:w="891" w:type="pct"/>
            <w:vMerge w:val="continue"/>
            <w:vAlign w:val="center"/>
          </w:tcPr>
          <w:p>
            <w:pPr>
              <w:widowControl/>
              <w:suppressAutoHyphens/>
              <w:jc w:val="left"/>
              <w:rPr>
                <w:rFonts w:ascii="Arial" w:hAnsi="Arial" w:cs="Arial"/>
                <w:kern w:val="0"/>
                <w:szCs w:val="21"/>
              </w:rPr>
            </w:pPr>
          </w:p>
        </w:tc>
        <w:tc>
          <w:tcPr>
            <w:tcW w:w="1829" w:type="pct"/>
            <w:noWrap/>
            <w:vAlign w:val="center"/>
          </w:tcPr>
          <w:p>
            <w:pPr>
              <w:widowControl/>
              <w:suppressAutoHyphens/>
              <w:jc w:val="left"/>
              <w:rPr>
                <w:rFonts w:ascii="Arial" w:hAnsi="Arial" w:cs="Arial"/>
                <w:kern w:val="0"/>
                <w:szCs w:val="21"/>
              </w:rPr>
            </w:pPr>
            <w:r>
              <w:rPr>
                <w:rFonts w:ascii="Arial" w:hAnsi="Arial" w:cs="Arial"/>
                <w:kern w:val="0"/>
                <w:szCs w:val="21"/>
              </w:rPr>
              <w:t>个人银行缴费扣款结果状态查询响应</w:t>
            </w:r>
          </w:p>
        </w:tc>
        <w:tc>
          <w:tcPr>
            <w:tcW w:w="999" w:type="pct"/>
            <w:noWrap/>
            <w:vAlign w:val="center"/>
          </w:tcPr>
          <w:p>
            <w:pPr>
              <w:suppressAutoHyphens/>
              <w:rPr>
                <w:rFonts w:ascii="Arial" w:hAnsi="Arial" w:cs="Arial"/>
                <w:szCs w:val="21"/>
              </w:rPr>
            </w:pPr>
            <w:r>
              <w:rPr>
                <w:rFonts w:ascii="Arial" w:hAnsi="Arial" w:cs="Arial"/>
                <w:szCs w:val="21"/>
              </w:rPr>
              <w:t>管理子系统</w:t>
            </w:r>
          </w:p>
        </w:tc>
        <w:tc>
          <w:tcPr>
            <w:tcW w:w="860" w:type="pct"/>
            <w:noWrap/>
            <w:vAlign w:val="center"/>
          </w:tcPr>
          <w:p>
            <w:pPr>
              <w:suppressAutoHyphens/>
              <w:rPr>
                <w:rFonts w:ascii="Arial" w:hAnsi="Arial" w:cs="Arial"/>
                <w:szCs w:val="21"/>
              </w:rPr>
            </w:pPr>
            <w:r>
              <w:rPr>
                <w:rFonts w:ascii="Arial" w:hAnsi="Arial" w:cs="Arial"/>
                <w:szCs w:val="21"/>
              </w:rPr>
              <w:t>税银子系统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421" w:type="pct"/>
            <w:noWrap/>
            <w:vAlign w:val="center"/>
          </w:tcPr>
          <w:p>
            <w:pPr>
              <w:suppressAutoHyphens/>
              <w:jc w:val="center"/>
              <w:rPr>
                <w:rFonts w:ascii="Arial" w:hAnsi="Arial" w:cs="Arial"/>
                <w:szCs w:val="21"/>
              </w:rPr>
            </w:pPr>
            <w:r>
              <w:rPr>
                <w:rFonts w:ascii="Arial" w:hAnsi="Arial" w:cs="Arial"/>
                <w:szCs w:val="21"/>
              </w:rPr>
              <w:t>32</w:t>
            </w:r>
          </w:p>
        </w:tc>
        <w:tc>
          <w:tcPr>
            <w:tcW w:w="891" w:type="pct"/>
            <w:vMerge w:val="restart"/>
            <w:vAlign w:val="center"/>
          </w:tcPr>
          <w:p>
            <w:pPr>
              <w:suppressAutoHyphens/>
              <w:rPr>
                <w:rFonts w:ascii="Arial" w:hAnsi="Arial" w:cs="Arial"/>
                <w:kern w:val="0"/>
                <w:szCs w:val="21"/>
              </w:rPr>
            </w:pPr>
            <w:r>
              <w:rPr>
                <w:rFonts w:ascii="Arial" w:hAnsi="Arial" w:cs="Arial"/>
                <w:kern w:val="0"/>
                <w:szCs w:val="21"/>
              </w:rPr>
              <w:t>个人银行缴费城乡居民（提档补差）</w:t>
            </w:r>
          </w:p>
        </w:tc>
        <w:tc>
          <w:tcPr>
            <w:tcW w:w="1829" w:type="pct"/>
            <w:noWrap/>
            <w:vAlign w:val="center"/>
          </w:tcPr>
          <w:p>
            <w:pPr>
              <w:widowControl/>
              <w:suppressAutoHyphens/>
              <w:jc w:val="left"/>
              <w:rPr>
                <w:rFonts w:ascii="Arial" w:hAnsi="Arial" w:cs="Arial"/>
                <w:kern w:val="0"/>
                <w:szCs w:val="21"/>
              </w:rPr>
            </w:pPr>
            <w:r>
              <w:rPr>
                <w:rFonts w:ascii="Arial" w:hAnsi="Arial" w:cs="Arial"/>
                <w:szCs w:val="21"/>
              </w:rPr>
              <w:t>个人银行缴费城乡居民查询响应-适用于提档补差请求</w:t>
            </w:r>
          </w:p>
        </w:tc>
        <w:tc>
          <w:tcPr>
            <w:tcW w:w="999" w:type="pct"/>
            <w:noWrap/>
            <w:vAlign w:val="center"/>
          </w:tcPr>
          <w:p>
            <w:pPr>
              <w:suppressAutoHyphens/>
              <w:rPr>
                <w:rFonts w:ascii="Arial" w:hAnsi="Arial" w:cs="Arial"/>
                <w:szCs w:val="21"/>
              </w:rPr>
            </w:pPr>
            <w:r>
              <w:rPr>
                <w:rFonts w:ascii="Arial" w:hAnsi="Arial" w:cs="Arial"/>
                <w:szCs w:val="21"/>
              </w:rPr>
              <w:t>税银子系统</w:t>
            </w:r>
          </w:p>
        </w:tc>
        <w:tc>
          <w:tcPr>
            <w:tcW w:w="860" w:type="pct"/>
            <w:noWrap/>
            <w:vAlign w:val="center"/>
          </w:tcPr>
          <w:p>
            <w:pPr>
              <w:suppressAutoHyphens/>
              <w:rPr>
                <w:rFonts w:ascii="Arial" w:hAnsi="Arial" w:cs="Arial"/>
                <w:szCs w:val="21"/>
              </w:rPr>
            </w:pPr>
            <w:r>
              <w:rPr>
                <w:rFonts w:ascii="Arial" w:hAnsi="Arial" w:cs="Arial"/>
                <w:szCs w:val="21"/>
              </w:rPr>
              <w:t>管理子系统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421" w:type="pct"/>
            <w:noWrap/>
            <w:vAlign w:val="center"/>
          </w:tcPr>
          <w:p>
            <w:pPr>
              <w:suppressAutoHyphens/>
              <w:jc w:val="center"/>
              <w:rPr>
                <w:rFonts w:ascii="Arial" w:hAnsi="Arial" w:cs="Arial"/>
                <w:szCs w:val="21"/>
              </w:rPr>
            </w:pPr>
            <w:r>
              <w:rPr>
                <w:rFonts w:ascii="Arial" w:hAnsi="Arial" w:cs="Arial"/>
                <w:szCs w:val="21"/>
              </w:rPr>
              <w:t>33</w:t>
            </w:r>
          </w:p>
        </w:tc>
        <w:tc>
          <w:tcPr>
            <w:tcW w:w="891" w:type="pct"/>
            <w:vMerge w:val="continue"/>
            <w:vAlign w:val="center"/>
          </w:tcPr>
          <w:p>
            <w:pPr>
              <w:widowControl/>
              <w:suppressAutoHyphens/>
              <w:jc w:val="left"/>
              <w:rPr>
                <w:rFonts w:ascii="Arial" w:hAnsi="Arial" w:cs="Arial"/>
                <w:kern w:val="0"/>
                <w:szCs w:val="21"/>
              </w:rPr>
            </w:pPr>
          </w:p>
        </w:tc>
        <w:tc>
          <w:tcPr>
            <w:tcW w:w="1829" w:type="pct"/>
            <w:noWrap/>
            <w:vAlign w:val="center"/>
          </w:tcPr>
          <w:p>
            <w:pPr>
              <w:suppressAutoHyphens/>
              <w:rPr>
                <w:rFonts w:ascii="Arial" w:hAnsi="Arial" w:cs="Arial"/>
                <w:szCs w:val="21"/>
              </w:rPr>
            </w:pPr>
            <w:r>
              <w:rPr>
                <w:rFonts w:ascii="Arial" w:hAnsi="Arial" w:cs="Arial"/>
                <w:szCs w:val="21"/>
              </w:rPr>
              <w:t>个人银行缴费城乡居民查询响应-适用于提档补差响应</w:t>
            </w:r>
          </w:p>
        </w:tc>
        <w:tc>
          <w:tcPr>
            <w:tcW w:w="999" w:type="pct"/>
            <w:noWrap/>
            <w:vAlign w:val="center"/>
          </w:tcPr>
          <w:p>
            <w:pPr>
              <w:suppressAutoHyphens/>
              <w:rPr>
                <w:rFonts w:ascii="Arial" w:hAnsi="Arial" w:cs="Arial"/>
                <w:szCs w:val="21"/>
              </w:rPr>
            </w:pPr>
            <w:r>
              <w:rPr>
                <w:rFonts w:ascii="Arial" w:hAnsi="Arial" w:cs="Arial"/>
                <w:szCs w:val="21"/>
              </w:rPr>
              <w:t>管理子系统</w:t>
            </w:r>
          </w:p>
        </w:tc>
        <w:tc>
          <w:tcPr>
            <w:tcW w:w="860" w:type="pct"/>
            <w:noWrap/>
            <w:vAlign w:val="center"/>
          </w:tcPr>
          <w:p>
            <w:pPr>
              <w:suppressAutoHyphens/>
              <w:rPr>
                <w:rFonts w:ascii="Arial" w:hAnsi="Arial" w:cs="Arial"/>
                <w:szCs w:val="21"/>
              </w:rPr>
            </w:pPr>
            <w:r>
              <w:rPr>
                <w:rFonts w:ascii="Arial" w:hAnsi="Arial" w:cs="Arial"/>
                <w:szCs w:val="21"/>
              </w:rPr>
              <w:t>税银子系统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421" w:type="pct"/>
            <w:noWrap/>
            <w:vAlign w:val="center"/>
          </w:tcPr>
          <w:p>
            <w:pPr>
              <w:suppressAutoHyphens/>
              <w:jc w:val="center"/>
              <w:rPr>
                <w:rFonts w:ascii="Arial" w:hAnsi="Arial" w:cs="Arial"/>
                <w:szCs w:val="21"/>
              </w:rPr>
            </w:pPr>
            <w:r>
              <w:rPr>
                <w:rFonts w:ascii="Arial" w:hAnsi="Arial" w:cs="Arial"/>
                <w:szCs w:val="21"/>
              </w:rPr>
              <w:t>34</w:t>
            </w:r>
          </w:p>
        </w:tc>
        <w:tc>
          <w:tcPr>
            <w:tcW w:w="891" w:type="pct"/>
            <w:vMerge w:val="restart"/>
            <w:vAlign w:val="center"/>
          </w:tcPr>
          <w:p>
            <w:pPr>
              <w:widowControl/>
              <w:suppressAutoHyphens/>
              <w:jc w:val="left"/>
              <w:rPr>
                <w:rFonts w:ascii="Arial" w:hAnsi="Arial" w:cs="Arial"/>
                <w:kern w:val="0"/>
                <w:szCs w:val="21"/>
              </w:rPr>
            </w:pPr>
            <w:r>
              <w:rPr>
                <w:rFonts w:ascii="Arial" w:hAnsi="Arial" w:cs="Arial"/>
                <w:kern w:val="0"/>
                <w:szCs w:val="21"/>
              </w:rPr>
              <w:t>个人委托扣款缴费协议（税务端发起）发起</w:t>
            </w:r>
          </w:p>
        </w:tc>
        <w:tc>
          <w:tcPr>
            <w:tcW w:w="1829" w:type="pct"/>
            <w:noWrap/>
            <w:vAlign w:val="center"/>
          </w:tcPr>
          <w:p>
            <w:pPr>
              <w:widowControl/>
              <w:suppressAutoHyphens/>
              <w:jc w:val="left"/>
              <w:rPr>
                <w:rFonts w:ascii="Arial" w:hAnsi="Arial" w:cs="Arial"/>
                <w:kern w:val="0"/>
                <w:szCs w:val="21"/>
              </w:rPr>
            </w:pPr>
            <w:r>
              <w:rPr>
                <w:rFonts w:ascii="Arial" w:hAnsi="Arial" w:cs="Arial"/>
                <w:szCs w:val="21"/>
              </w:rPr>
              <w:t>个人委托扣款缴费协议（税务端发起）请求</w:t>
            </w:r>
          </w:p>
        </w:tc>
        <w:tc>
          <w:tcPr>
            <w:tcW w:w="999" w:type="pct"/>
            <w:noWrap/>
            <w:vAlign w:val="center"/>
          </w:tcPr>
          <w:p>
            <w:pPr>
              <w:suppressAutoHyphens/>
              <w:rPr>
                <w:rFonts w:ascii="Arial" w:hAnsi="Arial" w:cs="Arial"/>
                <w:szCs w:val="21"/>
                <w:highlight w:val="lightGray"/>
              </w:rPr>
            </w:pPr>
            <w:r>
              <w:rPr>
                <w:rFonts w:ascii="Arial" w:hAnsi="Arial" w:cs="Arial"/>
                <w:szCs w:val="21"/>
              </w:rPr>
              <w:t>征收子系统</w:t>
            </w:r>
          </w:p>
        </w:tc>
        <w:tc>
          <w:tcPr>
            <w:tcW w:w="860" w:type="pct"/>
            <w:noWrap/>
            <w:vAlign w:val="center"/>
          </w:tcPr>
          <w:p>
            <w:pPr>
              <w:suppressAutoHyphens/>
              <w:rPr>
                <w:rFonts w:ascii="Arial" w:hAnsi="Arial" w:cs="Arial"/>
                <w:szCs w:val="21"/>
              </w:rPr>
            </w:pPr>
            <w:r>
              <w:rPr>
                <w:rFonts w:ascii="Arial" w:hAnsi="Arial" w:cs="Arial"/>
                <w:szCs w:val="21"/>
              </w:rPr>
              <w:t>税库银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421" w:type="pct"/>
            <w:noWrap/>
            <w:vAlign w:val="center"/>
          </w:tcPr>
          <w:p>
            <w:pPr>
              <w:suppressAutoHyphens/>
              <w:jc w:val="center"/>
              <w:rPr>
                <w:rFonts w:ascii="Arial" w:hAnsi="Arial" w:cs="Arial"/>
                <w:szCs w:val="21"/>
              </w:rPr>
            </w:pPr>
            <w:r>
              <w:rPr>
                <w:rFonts w:ascii="Arial" w:hAnsi="Arial" w:cs="Arial"/>
                <w:szCs w:val="21"/>
              </w:rPr>
              <w:t>35</w:t>
            </w:r>
          </w:p>
        </w:tc>
        <w:tc>
          <w:tcPr>
            <w:tcW w:w="891" w:type="pct"/>
            <w:vMerge w:val="continue"/>
            <w:vAlign w:val="center"/>
          </w:tcPr>
          <w:p>
            <w:pPr>
              <w:widowControl/>
              <w:suppressAutoHyphens/>
              <w:jc w:val="left"/>
              <w:rPr>
                <w:rFonts w:ascii="Arial" w:hAnsi="Arial" w:cs="Arial"/>
                <w:kern w:val="0"/>
                <w:szCs w:val="21"/>
              </w:rPr>
            </w:pPr>
          </w:p>
        </w:tc>
        <w:tc>
          <w:tcPr>
            <w:tcW w:w="1829" w:type="pct"/>
            <w:noWrap/>
            <w:vAlign w:val="center"/>
          </w:tcPr>
          <w:p>
            <w:pPr>
              <w:suppressAutoHyphens/>
              <w:rPr>
                <w:rFonts w:ascii="Arial" w:hAnsi="Arial" w:cs="Arial"/>
                <w:szCs w:val="21"/>
              </w:rPr>
            </w:pPr>
            <w:r>
              <w:rPr>
                <w:rFonts w:ascii="Arial" w:hAnsi="Arial" w:cs="Arial"/>
                <w:szCs w:val="21"/>
              </w:rPr>
              <w:t>个人委托扣款缴费协议（税务端发起）响应</w:t>
            </w:r>
          </w:p>
        </w:tc>
        <w:tc>
          <w:tcPr>
            <w:tcW w:w="999" w:type="pct"/>
            <w:noWrap/>
            <w:vAlign w:val="center"/>
          </w:tcPr>
          <w:p>
            <w:pPr>
              <w:suppressAutoHyphens/>
              <w:rPr>
                <w:rFonts w:ascii="Arial" w:hAnsi="Arial" w:cs="Arial"/>
                <w:szCs w:val="21"/>
              </w:rPr>
            </w:pPr>
            <w:r>
              <w:rPr>
                <w:rFonts w:ascii="Arial" w:hAnsi="Arial" w:cs="Arial"/>
                <w:szCs w:val="21"/>
              </w:rPr>
              <w:t>税库银</w:t>
            </w:r>
          </w:p>
        </w:tc>
        <w:tc>
          <w:tcPr>
            <w:tcW w:w="860" w:type="pct"/>
            <w:noWrap/>
            <w:vAlign w:val="center"/>
          </w:tcPr>
          <w:p>
            <w:pPr>
              <w:suppressAutoHyphens/>
              <w:rPr>
                <w:rFonts w:ascii="Arial" w:hAnsi="Arial" w:cs="Arial"/>
                <w:szCs w:val="21"/>
              </w:rPr>
            </w:pPr>
            <w:r>
              <w:rPr>
                <w:rFonts w:ascii="Arial" w:hAnsi="Arial" w:cs="Arial"/>
                <w:szCs w:val="21"/>
              </w:rPr>
              <w:t>征收子系统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421" w:type="pct"/>
            <w:noWrap/>
            <w:vAlign w:val="center"/>
          </w:tcPr>
          <w:p>
            <w:pPr>
              <w:suppressAutoHyphens/>
              <w:jc w:val="center"/>
              <w:rPr>
                <w:rFonts w:ascii="Arial" w:hAnsi="Arial" w:cs="Arial"/>
                <w:szCs w:val="21"/>
              </w:rPr>
            </w:pPr>
            <w:r>
              <w:rPr>
                <w:rFonts w:ascii="Arial" w:hAnsi="Arial" w:cs="Arial"/>
                <w:szCs w:val="21"/>
              </w:rPr>
              <w:t>36</w:t>
            </w:r>
          </w:p>
        </w:tc>
        <w:tc>
          <w:tcPr>
            <w:tcW w:w="891" w:type="pct"/>
            <w:vAlign w:val="center"/>
          </w:tcPr>
          <w:p>
            <w:pPr>
              <w:widowControl/>
              <w:suppressAutoHyphens/>
              <w:jc w:val="left"/>
              <w:rPr>
                <w:rFonts w:ascii="Arial" w:hAnsi="Arial" w:cs="Arial"/>
                <w:kern w:val="0"/>
                <w:szCs w:val="21"/>
              </w:rPr>
            </w:pPr>
            <w:r>
              <w:rPr>
                <w:rFonts w:ascii="Arial" w:hAnsi="Arial" w:cs="Arial"/>
                <w:kern w:val="0"/>
                <w:szCs w:val="21"/>
              </w:rPr>
              <w:t>个人缴费日切流水对账明细核对结果反馈</w:t>
            </w:r>
          </w:p>
        </w:tc>
        <w:tc>
          <w:tcPr>
            <w:tcW w:w="1829" w:type="pct"/>
            <w:noWrap/>
            <w:vAlign w:val="center"/>
          </w:tcPr>
          <w:p>
            <w:pPr>
              <w:suppressAutoHyphens/>
              <w:rPr>
                <w:rFonts w:ascii="Arial" w:hAnsi="Arial" w:cs="Arial"/>
                <w:szCs w:val="21"/>
              </w:rPr>
            </w:pPr>
            <w:r>
              <w:rPr>
                <w:rFonts w:ascii="Arial" w:hAnsi="Arial" w:cs="Arial"/>
                <w:szCs w:val="21"/>
              </w:rPr>
              <w:t>个人缴费日切流水对账明细核对结果反馈</w:t>
            </w:r>
          </w:p>
        </w:tc>
        <w:tc>
          <w:tcPr>
            <w:tcW w:w="999" w:type="pct"/>
            <w:noWrap/>
            <w:vAlign w:val="center"/>
          </w:tcPr>
          <w:p>
            <w:pPr>
              <w:suppressAutoHyphens/>
              <w:rPr>
                <w:rFonts w:ascii="Arial" w:hAnsi="Arial" w:cs="Arial"/>
                <w:szCs w:val="21"/>
              </w:rPr>
            </w:pPr>
            <w:r>
              <w:rPr>
                <w:rFonts w:ascii="Arial" w:hAnsi="Arial" w:cs="Arial"/>
                <w:szCs w:val="21"/>
              </w:rPr>
              <w:t>征收子系统</w:t>
            </w:r>
          </w:p>
        </w:tc>
        <w:tc>
          <w:tcPr>
            <w:tcW w:w="860" w:type="pct"/>
            <w:noWrap/>
            <w:vAlign w:val="center"/>
          </w:tcPr>
          <w:p>
            <w:pPr>
              <w:suppressAutoHyphens/>
              <w:rPr>
                <w:rFonts w:ascii="Arial" w:hAnsi="Arial" w:cs="Arial"/>
                <w:szCs w:val="21"/>
              </w:rPr>
            </w:pPr>
            <w:r>
              <w:rPr>
                <w:rFonts w:ascii="Arial" w:hAnsi="Arial" w:cs="Arial"/>
                <w:szCs w:val="21"/>
              </w:rPr>
              <w:t>税库银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421" w:type="pct"/>
            <w:noWrap/>
            <w:vAlign w:val="center"/>
          </w:tcPr>
          <w:p>
            <w:pPr>
              <w:suppressAutoHyphens/>
              <w:jc w:val="center"/>
              <w:rPr>
                <w:rFonts w:ascii="Arial" w:hAnsi="Arial" w:cs="Arial"/>
                <w:szCs w:val="21"/>
              </w:rPr>
            </w:pPr>
            <w:r>
              <w:rPr>
                <w:rFonts w:ascii="Arial" w:hAnsi="Arial" w:cs="Arial"/>
                <w:szCs w:val="21"/>
              </w:rPr>
              <w:t>37</w:t>
            </w:r>
          </w:p>
        </w:tc>
        <w:tc>
          <w:tcPr>
            <w:tcW w:w="891" w:type="pct"/>
            <w:vAlign w:val="center"/>
          </w:tcPr>
          <w:p>
            <w:pPr>
              <w:widowControl/>
              <w:suppressAutoHyphens/>
              <w:jc w:val="left"/>
              <w:rPr>
                <w:rFonts w:ascii="Arial" w:hAnsi="Arial" w:cs="Arial"/>
                <w:kern w:val="0"/>
                <w:szCs w:val="21"/>
              </w:rPr>
            </w:pPr>
            <w:r>
              <w:rPr>
                <w:rFonts w:ascii="Arial" w:hAnsi="Arial" w:cs="Arial"/>
                <w:kern w:val="0"/>
                <w:szCs w:val="21"/>
              </w:rPr>
              <w:t>个人缴费日切流水对账请求</w:t>
            </w:r>
          </w:p>
        </w:tc>
        <w:tc>
          <w:tcPr>
            <w:tcW w:w="1829" w:type="pct"/>
            <w:noWrap/>
            <w:vAlign w:val="center"/>
          </w:tcPr>
          <w:p>
            <w:pPr>
              <w:suppressAutoHyphens/>
              <w:rPr>
                <w:rFonts w:ascii="Arial" w:hAnsi="Arial" w:cs="Arial"/>
                <w:szCs w:val="21"/>
              </w:rPr>
            </w:pPr>
            <w:r>
              <w:rPr>
                <w:rFonts w:ascii="Arial" w:hAnsi="Arial" w:cs="Arial"/>
                <w:szCs w:val="21"/>
              </w:rPr>
              <w:t>个人缴费日切流水对账请求</w:t>
            </w:r>
          </w:p>
        </w:tc>
        <w:tc>
          <w:tcPr>
            <w:tcW w:w="999" w:type="pct"/>
            <w:noWrap/>
            <w:vAlign w:val="center"/>
          </w:tcPr>
          <w:p>
            <w:pPr>
              <w:suppressAutoHyphens/>
              <w:rPr>
                <w:rFonts w:ascii="Arial" w:hAnsi="Arial" w:cs="Arial"/>
                <w:szCs w:val="21"/>
              </w:rPr>
            </w:pPr>
            <w:r>
              <w:rPr>
                <w:rFonts w:ascii="Arial" w:hAnsi="Arial" w:cs="Arial"/>
                <w:szCs w:val="21"/>
              </w:rPr>
              <w:t>征收子系统</w:t>
            </w:r>
          </w:p>
        </w:tc>
        <w:tc>
          <w:tcPr>
            <w:tcW w:w="860" w:type="pct"/>
            <w:noWrap/>
            <w:vAlign w:val="center"/>
          </w:tcPr>
          <w:p>
            <w:pPr>
              <w:suppressAutoHyphens/>
              <w:rPr>
                <w:rFonts w:ascii="Arial" w:hAnsi="Arial" w:cs="Arial"/>
                <w:szCs w:val="21"/>
              </w:rPr>
            </w:pPr>
            <w:r>
              <w:rPr>
                <w:rFonts w:ascii="Arial" w:hAnsi="Arial" w:cs="Arial"/>
                <w:szCs w:val="21"/>
              </w:rPr>
              <w:t>税库银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421" w:type="pct"/>
            <w:noWrap/>
            <w:vAlign w:val="center"/>
          </w:tcPr>
          <w:p>
            <w:pPr>
              <w:suppressAutoHyphens/>
              <w:jc w:val="center"/>
              <w:rPr>
                <w:rFonts w:ascii="Arial" w:hAnsi="Arial" w:cs="Arial"/>
                <w:szCs w:val="21"/>
              </w:rPr>
            </w:pPr>
            <w:r>
              <w:rPr>
                <w:rFonts w:ascii="Arial" w:hAnsi="Arial" w:cs="Arial"/>
                <w:szCs w:val="21"/>
              </w:rPr>
              <w:t>38</w:t>
            </w:r>
          </w:p>
        </w:tc>
        <w:tc>
          <w:tcPr>
            <w:tcW w:w="891" w:type="pct"/>
            <w:vMerge w:val="restart"/>
            <w:vAlign w:val="center"/>
          </w:tcPr>
          <w:p>
            <w:pPr>
              <w:widowControl/>
              <w:suppressAutoHyphens/>
              <w:jc w:val="left"/>
              <w:rPr>
                <w:rFonts w:ascii="Arial" w:hAnsi="Arial" w:cs="Arial"/>
                <w:kern w:val="0"/>
                <w:szCs w:val="21"/>
              </w:rPr>
            </w:pPr>
            <w:r>
              <w:rPr>
                <w:rFonts w:ascii="Arial" w:hAnsi="Arial" w:cs="Arial"/>
                <w:kern w:val="0"/>
                <w:szCs w:val="21"/>
              </w:rPr>
              <w:t>个人银行缴费灵活就业查询-适用于多地参保接口</w:t>
            </w:r>
          </w:p>
        </w:tc>
        <w:tc>
          <w:tcPr>
            <w:tcW w:w="1829" w:type="pct"/>
            <w:noWrap/>
            <w:vAlign w:val="center"/>
          </w:tcPr>
          <w:p>
            <w:pPr>
              <w:suppressAutoHyphens/>
              <w:rPr>
                <w:rFonts w:ascii="Arial" w:hAnsi="Arial" w:cs="Arial"/>
                <w:szCs w:val="21"/>
              </w:rPr>
            </w:pPr>
            <w:r>
              <w:rPr>
                <w:rFonts w:ascii="Arial" w:hAnsi="Arial" w:cs="Arial"/>
                <w:szCs w:val="21"/>
              </w:rPr>
              <w:t>个人银行缴费灵活就业查询（多地参保）请求</w:t>
            </w:r>
          </w:p>
        </w:tc>
        <w:tc>
          <w:tcPr>
            <w:tcW w:w="999" w:type="pct"/>
            <w:noWrap/>
            <w:vAlign w:val="center"/>
          </w:tcPr>
          <w:p>
            <w:pPr>
              <w:suppressAutoHyphens/>
              <w:rPr>
                <w:rFonts w:ascii="Arial" w:hAnsi="Arial" w:cs="Arial"/>
                <w:szCs w:val="21"/>
              </w:rPr>
            </w:pPr>
            <w:r>
              <w:rPr>
                <w:rFonts w:ascii="Arial" w:hAnsi="Arial" w:cs="Arial"/>
                <w:szCs w:val="21"/>
              </w:rPr>
              <w:t>税银子系统</w:t>
            </w:r>
          </w:p>
        </w:tc>
        <w:tc>
          <w:tcPr>
            <w:tcW w:w="860" w:type="pct"/>
            <w:noWrap/>
            <w:vAlign w:val="center"/>
          </w:tcPr>
          <w:p>
            <w:pPr>
              <w:suppressAutoHyphens/>
              <w:rPr>
                <w:rFonts w:ascii="Arial" w:hAnsi="Arial" w:cs="Arial"/>
                <w:szCs w:val="21"/>
              </w:rPr>
            </w:pPr>
            <w:r>
              <w:rPr>
                <w:rFonts w:ascii="Arial" w:hAnsi="Arial" w:cs="Arial"/>
                <w:szCs w:val="21"/>
              </w:rPr>
              <w:t>管理子系统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421" w:type="pct"/>
            <w:noWrap/>
            <w:vAlign w:val="center"/>
          </w:tcPr>
          <w:p>
            <w:pPr>
              <w:suppressAutoHyphens/>
              <w:jc w:val="center"/>
              <w:rPr>
                <w:rFonts w:ascii="Arial" w:hAnsi="Arial" w:cs="Arial"/>
                <w:szCs w:val="21"/>
              </w:rPr>
            </w:pPr>
            <w:r>
              <w:rPr>
                <w:rFonts w:ascii="Arial" w:hAnsi="Arial" w:cs="Arial"/>
                <w:szCs w:val="21"/>
              </w:rPr>
              <w:t>39</w:t>
            </w:r>
          </w:p>
        </w:tc>
        <w:tc>
          <w:tcPr>
            <w:tcW w:w="891" w:type="pct"/>
            <w:vMerge w:val="continue"/>
            <w:vAlign w:val="center"/>
          </w:tcPr>
          <w:p>
            <w:pPr>
              <w:widowControl/>
              <w:suppressAutoHyphens/>
              <w:jc w:val="left"/>
              <w:rPr>
                <w:rFonts w:ascii="Arial" w:hAnsi="Arial" w:cs="Arial"/>
                <w:kern w:val="0"/>
                <w:szCs w:val="21"/>
              </w:rPr>
            </w:pPr>
          </w:p>
        </w:tc>
        <w:tc>
          <w:tcPr>
            <w:tcW w:w="1829" w:type="pct"/>
            <w:noWrap/>
            <w:vAlign w:val="center"/>
          </w:tcPr>
          <w:p>
            <w:pPr>
              <w:suppressAutoHyphens/>
              <w:rPr>
                <w:rFonts w:ascii="Arial" w:hAnsi="Arial" w:cs="Arial"/>
                <w:szCs w:val="21"/>
              </w:rPr>
            </w:pPr>
            <w:r>
              <w:rPr>
                <w:rFonts w:ascii="Arial" w:hAnsi="Arial" w:cs="Arial"/>
                <w:szCs w:val="21"/>
              </w:rPr>
              <w:t>个人银行缴费灵活就业查询（多地参保）响应</w:t>
            </w:r>
          </w:p>
        </w:tc>
        <w:tc>
          <w:tcPr>
            <w:tcW w:w="999" w:type="pct"/>
            <w:noWrap/>
            <w:vAlign w:val="center"/>
          </w:tcPr>
          <w:p>
            <w:pPr>
              <w:suppressAutoHyphens/>
              <w:rPr>
                <w:rFonts w:ascii="Arial" w:hAnsi="Arial" w:cs="Arial"/>
                <w:szCs w:val="21"/>
              </w:rPr>
            </w:pPr>
            <w:r>
              <w:rPr>
                <w:rFonts w:ascii="Arial" w:hAnsi="Arial" w:cs="Arial"/>
                <w:szCs w:val="21"/>
              </w:rPr>
              <w:t>管理子系统</w:t>
            </w:r>
          </w:p>
        </w:tc>
        <w:tc>
          <w:tcPr>
            <w:tcW w:w="860" w:type="pct"/>
            <w:noWrap/>
            <w:vAlign w:val="center"/>
          </w:tcPr>
          <w:p>
            <w:pPr>
              <w:suppressAutoHyphens/>
              <w:rPr>
                <w:rFonts w:ascii="Arial" w:hAnsi="Arial" w:cs="Arial"/>
                <w:szCs w:val="21"/>
              </w:rPr>
            </w:pPr>
            <w:r>
              <w:rPr>
                <w:rFonts w:ascii="Arial" w:hAnsi="Arial" w:cs="Arial"/>
                <w:szCs w:val="21"/>
              </w:rPr>
              <w:t>税银子系统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421" w:type="pct"/>
            <w:noWrap/>
            <w:vAlign w:val="center"/>
          </w:tcPr>
          <w:p>
            <w:pPr>
              <w:suppressAutoHyphens/>
              <w:jc w:val="center"/>
              <w:rPr>
                <w:rFonts w:ascii="Arial" w:hAnsi="Arial" w:cs="Arial"/>
                <w:szCs w:val="21"/>
              </w:rPr>
            </w:pPr>
            <w:r>
              <w:rPr>
                <w:rFonts w:ascii="Arial" w:hAnsi="Arial" w:cs="Arial"/>
                <w:szCs w:val="21"/>
              </w:rPr>
              <w:t>40</w:t>
            </w:r>
          </w:p>
        </w:tc>
        <w:tc>
          <w:tcPr>
            <w:tcW w:w="891" w:type="pct"/>
            <w:vMerge w:val="restart"/>
          </w:tcPr>
          <w:p>
            <w:pPr>
              <w:suppressAutoHyphens/>
              <w:rPr>
                <w:rFonts w:ascii="Arial" w:hAnsi="Arial" w:cs="Arial"/>
                <w:szCs w:val="21"/>
              </w:rPr>
            </w:pPr>
            <w:r>
              <w:rPr>
                <w:rFonts w:ascii="Arial" w:hAnsi="Arial" w:cs="Arial"/>
                <w:szCs w:val="21"/>
              </w:rPr>
              <w:t>个人委托扣款缴费协议（税务端 发起-持卡人签约）模式</w:t>
            </w:r>
          </w:p>
        </w:tc>
        <w:tc>
          <w:tcPr>
            <w:tcW w:w="1829" w:type="pct"/>
            <w:noWrap/>
            <w:vAlign w:val="center"/>
          </w:tcPr>
          <w:p>
            <w:pPr>
              <w:suppressAutoHyphens/>
              <w:rPr>
                <w:rFonts w:ascii="Arial" w:hAnsi="Arial" w:cs="Arial"/>
                <w:szCs w:val="21"/>
              </w:rPr>
            </w:pPr>
            <w:r>
              <w:rPr>
                <w:rFonts w:ascii="Arial" w:hAnsi="Arial" w:cs="Arial"/>
                <w:szCs w:val="21"/>
              </w:rPr>
              <w:t>个人委托扣款缴费协议（税务端发起-持卡人签约）请求</w:t>
            </w:r>
          </w:p>
        </w:tc>
        <w:tc>
          <w:tcPr>
            <w:tcW w:w="999" w:type="pct"/>
            <w:noWrap/>
            <w:vAlign w:val="center"/>
          </w:tcPr>
          <w:p>
            <w:pPr>
              <w:suppressAutoHyphens/>
              <w:rPr>
                <w:rFonts w:ascii="Arial" w:hAnsi="Arial" w:cs="Arial"/>
                <w:szCs w:val="21"/>
              </w:rPr>
            </w:pPr>
            <w:r>
              <w:rPr>
                <w:rFonts w:ascii="Arial" w:hAnsi="Arial" w:cs="Arial"/>
                <w:szCs w:val="21"/>
              </w:rPr>
              <w:t>征收子系统</w:t>
            </w:r>
          </w:p>
        </w:tc>
        <w:tc>
          <w:tcPr>
            <w:tcW w:w="860" w:type="pct"/>
            <w:noWrap/>
            <w:vAlign w:val="center"/>
          </w:tcPr>
          <w:p>
            <w:pPr>
              <w:suppressAutoHyphens/>
              <w:rPr>
                <w:rFonts w:ascii="Arial" w:hAnsi="Arial" w:cs="Arial"/>
                <w:szCs w:val="21"/>
              </w:rPr>
            </w:pPr>
            <w:r>
              <w:rPr>
                <w:rFonts w:ascii="Arial" w:hAnsi="Arial" w:cs="Arial"/>
                <w:szCs w:val="21"/>
              </w:rPr>
              <w:t>税库银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421" w:type="pct"/>
            <w:noWrap/>
            <w:vAlign w:val="center"/>
          </w:tcPr>
          <w:p>
            <w:pPr>
              <w:suppressAutoHyphens/>
              <w:jc w:val="center"/>
              <w:rPr>
                <w:rFonts w:ascii="Arial" w:hAnsi="Arial" w:cs="Arial"/>
                <w:szCs w:val="21"/>
              </w:rPr>
            </w:pPr>
            <w:r>
              <w:rPr>
                <w:rFonts w:ascii="Arial" w:hAnsi="Arial" w:cs="Arial"/>
                <w:szCs w:val="21"/>
              </w:rPr>
              <w:t>41</w:t>
            </w:r>
          </w:p>
        </w:tc>
        <w:tc>
          <w:tcPr>
            <w:tcW w:w="891" w:type="pct"/>
            <w:vMerge w:val="continue"/>
          </w:tcPr>
          <w:p>
            <w:pPr>
              <w:suppressAutoHyphens/>
              <w:rPr>
                <w:rFonts w:ascii="Arial" w:hAnsi="Arial" w:cs="Arial"/>
                <w:szCs w:val="21"/>
              </w:rPr>
            </w:pPr>
          </w:p>
        </w:tc>
        <w:tc>
          <w:tcPr>
            <w:tcW w:w="1829" w:type="pct"/>
            <w:noWrap/>
            <w:vAlign w:val="center"/>
          </w:tcPr>
          <w:p>
            <w:pPr>
              <w:suppressAutoHyphens/>
              <w:rPr>
                <w:rFonts w:ascii="Arial" w:hAnsi="Arial" w:cs="Arial"/>
                <w:szCs w:val="21"/>
              </w:rPr>
            </w:pPr>
            <w:r>
              <w:rPr>
                <w:rFonts w:ascii="Arial" w:hAnsi="Arial" w:cs="Arial"/>
                <w:szCs w:val="21"/>
              </w:rPr>
              <w:t>个人委托扣款缴费协议（税务端发起-持卡人签约）响应</w:t>
            </w:r>
          </w:p>
        </w:tc>
        <w:tc>
          <w:tcPr>
            <w:tcW w:w="999" w:type="pct"/>
            <w:noWrap/>
            <w:vAlign w:val="center"/>
          </w:tcPr>
          <w:p>
            <w:pPr>
              <w:suppressAutoHyphens/>
              <w:rPr>
                <w:rFonts w:ascii="Arial" w:hAnsi="Arial" w:cs="Arial"/>
                <w:szCs w:val="21"/>
              </w:rPr>
            </w:pPr>
            <w:r>
              <w:rPr>
                <w:rFonts w:ascii="Arial" w:hAnsi="Arial" w:cs="Arial"/>
                <w:szCs w:val="21"/>
              </w:rPr>
              <w:t>税库银</w:t>
            </w:r>
          </w:p>
        </w:tc>
        <w:tc>
          <w:tcPr>
            <w:tcW w:w="860" w:type="pct"/>
            <w:noWrap/>
            <w:vAlign w:val="center"/>
          </w:tcPr>
          <w:p>
            <w:pPr>
              <w:suppressAutoHyphens/>
              <w:rPr>
                <w:rFonts w:ascii="Arial" w:hAnsi="Arial" w:cs="Arial"/>
                <w:szCs w:val="21"/>
              </w:rPr>
            </w:pPr>
            <w:r>
              <w:rPr>
                <w:rFonts w:ascii="Arial" w:hAnsi="Arial" w:cs="Arial"/>
                <w:szCs w:val="21"/>
              </w:rPr>
              <w:t>征收子系统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421" w:type="pct"/>
            <w:noWrap/>
            <w:vAlign w:val="center"/>
          </w:tcPr>
          <w:p>
            <w:pPr>
              <w:suppressAutoHyphens/>
              <w:jc w:val="center"/>
              <w:rPr>
                <w:rFonts w:ascii="Arial" w:hAnsi="Arial" w:cs="Arial"/>
                <w:szCs w:val="21"/>
              </w:rPr>
            </w:pPr>
            <w:r>
              <w:rPr>
                <w:rFonts w:ascii="Arial" w:hAnsi="Arial" w:cs="Arial"/>
                <w:szCs w:val="21"/>
              </w:rPr>
              <w:t>42</w:t>
            </w:r>
          </w:p>
        </w:tc>
        <w:tc>
          <w:tcPr>
            <w:tcW w:w="891" w:type="pct"/>
            <w:vMerge w:val="restart"/>
          </w:tcPr>
          <w:p>
            <w:pPr>
              <w:suppressAutoHyphens/>
              <w:rPr>
                <w:rFonts w:ascii="Arial" w:hAnsi="Arial" w:cs="Arial"/>
                <w:szCs w:val="21"/>
              </w:rPr>
            </w:pPr>
            <w:r>
              <w:rPr>
                <w:rFonts w:ascii="Arial" w:hAnsi="Arial" w:cs="Arial"/>
                <w:szCs w:val="21"/>
              </w:rPr>
              <w:t>个人委托扣款缴费协议（银行端发起-持卡人签约）模式</w:t>
            </w:r>
          </w:p>
        </w:tc>
        <w:tc>
          <w:tcPr>
            <w:tcW w:w="1829" w:type="pct"/>
            <w:noWrap/>
            <w:vAlign w:val="center"/>
          </w:tcPr>
          <w:p>
            <w:pPr>
              <w:suppressAutoHyphens/>
              <w:rPr>
                <w:rFonts w:ascii="Arial" w:hAnsi="Arial" w:cs="Arial"/>
                <w:szCs w:val="21"/>
              </w:rPr>
            </w:pPr>
            <w:r>
              <w:rPr>
                <w:rFonts w:ascii="Arial" w:hAnsi="Arial" w:cs="Arial"/>
                <w:szCs w:val="21"/>
              </w:rPr>
              <w:t>个人委托扣款缴费协议（银行端发起-持卡人签约）请求</w:t>
            </w:r>
          </w:p>
        </w:tc>
        <w:tc>
          <w:tcPr>
            <w:tcW w:w="999" w:type="pct"/>
            <w:noWrap/>
            <w:vAlign w:val="center"/>
          </w:tcPr>
          <w:p>
            <w:pPr>
              <w:suppressAutoHyphens/>
              <w:rPr>
                <w:rFonts w:ascii="Arial" w:hAnsi="Arial" w:cs="Arial"/>
                <w:szCs w:val="21"/>
              </w:rPr>
            </w:pPr>
            <w:r>
              <w:rPr>
                <w:rFonts w:ascii="Arial" w:hAnsi="Arial" w:cs="Arial"/>
                <w:szCs w:val="21"/>
              </w:rPr>
              <w:t>税银子系统</w:t>
            </w:r>
          </w:p>
        </w:tc>
        <w:tc>
          <w:tcPr>
            <w:tcW w:w="860" w:type="pct"/>
            <w:noWrap/>
            <w:vAlign w:val="center"/>
          </w:tcPr>
          <w:p>
            <w:pPr>
              <w:suppressAutoHyphens/>
              <w:rPr>
                <w:rFonts w:ascii="Arial" w:hAnsi="Arial" w:cs="Arial"/>
                <w:szCs w:val="21"/>
              </w:rPr>
            </w:pPr>
            <w:r>
              <w:rPr>
                <w:rFonts w:ascii="Arial" w:hAnsi="Arial" w:cs="Arial"/>
                <w:szCs w:val="21"/>
              </w:rPr>
              <w:t>征收子系统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421" w:type="pct"/>
            <w:noWrap/>
            <w:vAlign w:val="center"/>
          </w:tcPr>
          <w:p>
            <w:pPr>
              <w:suppressAutoHyphens/>
              <w:jc w:val="center"/>
              <w:rPr>
                <w:rFonts w:ascii="Arial" w:hAnsi="Arial" w:cs="Arial"/>
                <w:szCs w:val="21"/>
              </w:rPr>
            </w:pPr>
            <w:r>
              <w:rPr>
                <w:rFonts w:ascii="Arial" w:hAnsi="Arial" w:cs="Arial"/>
                <w:szCs w:val="21"/>
              </w:rPr>
              <w:t>43</w:t>
            </w:r>
          </w:p>
        </w:tc>
        <w:tc>
          <w:tcPr>
            <w:tcW w:w="891" w:type="pct"/>
            <w:vMerge w:val="continue"/>
          </w:tcPr>
          <w:p>
            <w:pPr>
              <w:suppressAutoHyphens/>
              <w:rPr>
                <w:rFonts w:ascii="Arial" w:hAnsi="Arial" w:cs="Arial"/>
                <w:szCs w:val="21"/>
              </w:rPr>
            </w:pPr>
          </w:p>
        </w:tc>
        <w:tc>
          <w:tcPr>
            <w:tcW w:w="1829" w:type="pct"/>
            <w:noWrap/>
            <w:vAlign w:val="center"/>
          </w:tcPr>
          <w:p>
            <w:pPr>
              <w:suppressAutoHyphens/>
              <w:rPr>
                <w:rFonts w:ascii="Arial" w:hAnsi="Arial" w:cs="Arial"/>
                <w:szCs w:val="21"/>
              </w:rPr>
            </w:pPr>
            <w:r>
              <w:rPr>
                <w:rFonts w:ascii="Arial" w:hAnsi="Arial" w:cs="Arial"/>
                <w:szCs w:val="21"/>
              </w:rPr>
              <w:t>个人委托扣款缴费协议（银行端发起-持卡人签约）响应</w:t>
            </w:r>
          </w:p>
        </w:tc>
        <w:tc>
          <w:tcPr>
            <w:tcW w:w="999" w:type="pct"/>
            <w:noWrap/>
            <w:vAlign w:val="center"/>
          </w:tcPr>
          <w:p>
            <w:pPr>
              <w:suppressAutoHyphens/>
              <w:rPr>
                <w:rFonts w:ascii="Arial" w:hAnsi="Arial" w:cs="Arial"/>
                <w:szCs w:val="21"/>
              </w:rPr>
            </w:pPr>
            <w:r>
              <w:rPr>
                <w:rFonts w:ascii="Arial" w:hAnsi="Arial" w:cs="Arial"/>
                <w:szCs w:val="21"/>
              </w:rPr>
              <w:t>征收子系统</w:t>
            </w:r>
          </w:p>
        </w:tc>
        <w:tc>
          <w:tcPr>
            <w:tcW w:w="860" w:type="pct"/>
            <w:noWrap/>
            <w:vAlign w:val="center"/>
          </w:tcPr>
          <w:p>
            <w:pPr>
              <w:suppressAutoHyphens/>
              <w:rPr>
                <w:rFonts w:ascii="Arial" w:hAnsi="Arial" w:cs="Arial"/>
                <w:szCs w:val="21"/>
              </w:rPr>
            </w:pPr>
            <w:r>
              <w:rPr>
                <w:rFonts w:ascii="Arial" w:hAnsi="Arial" w:cs="Arial"/>
                <w:szCs w:val="21"/>
              </w:rPr>
              <w:t>税银子系统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421" w:type="pct"/>
            <w:noWrap/>
            <w:vAlign w:val="center"/>
          </w:tcPr>
          <w:p>
            <w:pPr>
              <w:suppressAutoHyphens/>
              <w:jc w:val="center"/>
              <w:rPr>
                <w:rFonts w:ascii="Arial" w:hAnsi="Arial" w:cs="Arial"/>
                <w:szCs w:val="21"/>
              </w:rPr>
            </w:pPr>
            <w:r>
              <w:rPr>
                <w:rFonts w:ascii="Arial" w:hAnsi="Arial" w:cs="Arial"/>
                <w:szCs w:val="21"/>
              </w:rPr>
              <w:t>44</w:t>
            </w:r>
          </w:p>
        </w:tc>
        <w:tc>
          <w:tcPr>
            <w:tcW w:w="891" w:type="pct"/>
            <w:vMerge w:val="restart"/>
          </w:tcPr>
          <w:p>
            <w:pPr>
              <w:suppressAutoHyphens/>
              <w:rPr>
                <w:rFonts w:ascii="Arial" w:hAnsi="Arial" w:cs="Arial"/>
                <w:szCs w:val="21"/>
              </w:rPr>
            </w:pPr>
            <w:r>
              <w:rPr>
                <w:rFonts w:ascii="Arial" w:hAnsi="Arial" w:cs="Arial"/>
                <w:szCs w:val="21"/>
              </w:rPr>
              <w:t>个人委托扣款缴费协议查询业务</w:t>
            </w:r>
          </w:p>
        </w:tc>
        <w:tc>
          <w:tcPr>
            <w:tcW w:w="1829" w:type="pct"/>
            <w:noWrap/>
            <w:vAlign w:val="center"/>
          </w:tcPr>
          <w:p>
            <w:pPr>
              <w:widowControl/>
              <w:suppressAutoHyphens/>
              <w:jc w:val="left"/>
              <w:rPr>
                <w:rFonts w:ascii="Arial" w:hAnsi="Arial" w:cs="Arial"/>
                <w:kern w:val="0"/>
                <w:szCs w:val="21"/>
              </w:rPr>
            </w:pPr>
            <w:r>
              <w:rPr>
                <w:rFonts w:ascii="Arial" w:hAnsi="Arial" w:cs="Arial"/>
                <w:szCs w:val="21"/>
              </w:rPr>
              <w:t>个人委托扣款缴费协议查询请求</w:t>
            </w:r>
          </w:p>
        </w:tc>
        <w:tc>
          <w:tcPr>
            <w:tcW w:w="999" w:type="pct"/>
            <w:noWrap/>
            <w:vAlign w:val="center"/>
          </w:tcPr>
          <w:p>
            <w:pPr>
              <w:suppressAutoHyphens/>
              <w:rPr>
                <w:rFonts w:ascii="Arial" w:hAnsi="Arial" w:cs="Arial"/>
                <w:szCs w:val="21"/>
              </w:rPr>
            </w:pPr>
            <w:r>
              <w:rPr>
                <w:rFonts w:ascii="Arial" w:hAnsi="Arial" w:cs="Arial"/>
                <w:szCs w:val="21"/>
              </w:rPr>
              <w:t>税银子系统</w:t>
            </w:r>
          </w:p>
        </w:tc>
        <w:tc>
          <w:tcPr>
            <w:tcW w:w="860" w:type="pct"/>
            <w:noWrap/>
            <w:vAlign w:val="center"/>
          </w:tcPr>
          <w:p>
            <w:pPr>
              <w:suppressAutoHyphens/>
              <w:rPr>
                <w:rFonts w:ascii="Arial" w:hAnsi="Arial" w:cs="Arial"/>
                <w:szCs w:val="21"/>
              </w:rPr>
            </w:pPr>
            <w:r>
              <w:rPr>
                <w:rFonts w:ascii="Arial" w:hAnsi="Arial" w:cs="Arial"/>
                <w:szCs w:val="21"/>
              </w:rPr>
              <w:t>征收子系统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421" w:type="pct"/>
            <w:noWrap/>
            <w:vAlign w:val="center"/>
          </w:tcPr>
          <w:p>
            <w:pPr>
              <w:suppressAutoHyphens/>
              <w:jc w:val="center"/>
              <w:rPr>
                <w:rFonts w:ascii="Arial" w:hAnsi="Arial" w:cs="Arial"/>
                <w:szCs w:val="21"/>
              </w:rPr>
            </w:pPr>
            <w:r>
              <w:rPr>
                <w:rFonts w:ascii="Arial" w:hAnsi="Arial" w:cs="Arial"/>
                <w:szCs w:val="21"/>
              </w:rPr>
              <w:t>45</w:t>
            </w:r>
          </w:p>
        </w:tc>
        <w:tc>
          <w:tcPr>
            <w:tcW w:w="891" w:type="pct"/>
            <w:vMerge w:val="continue"/>
          </w:tcPr>
          <w:p>
            <w:pPr>
              <w:widowControl/>
              <w:suppressAutoHyphens/>
              <w:jc w:val="left"/>
              <w:rPr>
                <w:rFonts w:ascii="Arial" w:hAnsi="Arial" w:cs="Arial"/>
                <w:kern w:val="0"/>
                <w:szCs w:val="21"/>
              </w:rPr>
            </w:pPr>
          </w:p>
        </w:tc>
        <w:tc>
          <w:tcPr>
            <w:tcW w:w="1829" w:type="pct"/>
            <w:noWrap/>
            <w:vAlign w:val="center"/>
          </w:tcPr>
          <w:p>
            <w:pPr>
              <w:suppressAutoHyphens/>
              <w:rPr>
                <w:rFonts w:ascii="Arial" w:hAnsi="Arial" w:cs="Arial"/>
                <w:szCs w:val="21"/>
              </w:rPr>
            </w:pPr>
            <w:r>
              <w:rPr>
                <w:rFonts w:ascii="Arial" w:hAnsi="Arial" w:cs="Arial"/>
                <w:szCs w:val="21"/>
              </w:rPr>
              <w:t>个人委托扣款缴费协议查询响应</w:t>
            </w:r>
          </w:p>
        </w:tc>
        <w:tc>
          <w:tcPr>
            <w:tcW w:w="999" w:type="pct"/>
            <w:noWrap/>
            <w:vAlign w:val="center"/>
          </w:tcPr>
          <w:p>
            <w:pPr>
              <w:suppressAutoHyphens/>
              <w:rPr>
                <w:rFonts w:ascii="Arial" w:hAnsi="Arial" w:cs="Arial"/>
                <w:szCs w:val="21"/>
              </w:rPr>
            </w:pPr>
            <w:r>
              <w:rPr>
                <w:rFonts w:ascii="Arial" w:hAnsi="Arial" w:cs="Arial"/>
                <w:szCs w:val="21"/>
              </w:rPr>
              <w:t>征收子系统</w:t>
            </w:r>
          </w:p>
        </w:tc>
        <w:tc>
          <w:tcPr>
            <w:tcW w:w="860" w:type="pct"/>
            <w:noWrap/>
            <w:vAlign w:val="center"/>
          </w:tcPr>
          <w:p>
            <w:pPr>
              <w:suppressAutoHyphens/>
              <w:rPr>
                <w:rFonts w:ascii="Arial" w:hAnsi="Arial" w:cs="Arial"/>
                <w:szCs w:val="21"/>
              </w:rPr>
            </w:pPr>
            <w:r>
              <w:rPr>
                <w:rFonts w:ascii="Arial" w:hAnsi="Arial" w:cs="Arial"/>
                <w:szCs w:val="21"/>
              </w:rPr>
              <w:t>税银子系统</w:t>
            </w:r>
          </w:p>
        </w:tc>
      </w:tr>
    </w:tbl>
    <w:p>
      <w:pPr>
        <w:suppressAutoHyphens/>
        <w:spacing w:line="360" w:lineRule="auto"/>
        <w:ind w:firstLine="482" w:firstLineChars="200"/>
        <w:rPr>
          <w:rFonts w:ascii="Arial" w:hAnsi="Arial" w:cs="Arial"/>
          <w:b/>
          <w:bCs/>
          <w:color w:val="000000"/>
          <w:sz w:val="24"/>
        </w:rPr>
      </w:pPr>
      <w:r>
        <w:rPr>
          <w:rFonts w:ascii="Arial" w:hAnsi="Arial" w:cs="Arial"/>
          <w:b/>
          <w:bCs/>
          <w:color w:val="000000"/>
          <w:sz w:val="24"/>
        </w:rPr>
        <w:t>四、项目实施要求</w:t>
      </w:r>
    </w:p>
    <w:p>
      <w:pPr>
        <w:suppressAutoHyphens/>
        <w:adjustRightInd w:val="0"/>
        <w:snapToGrid w:val="0"/>
        <w:spacing w:line="360" w:lineRule="auto"/>
        <w:ind w:firstLine="480" w:firstLineChars="200"/>
        <w:jc w:val="left"/>
        <w:rPr>
          <w:rFonts w:ascii="Arial" w:hAnsi="Arial" w:cs="Arial"/>
          <w:sz w:val="24"/>
        </w:rPr>
      </w:pPr>
      <w:r>
        <w:rPr>
          <w:rFonts w:ascii="Arial" w:hAnsi="Arial" w:cs="Arial"/>
          <w:sz w:val="24"/>
        </w:rPr>
        <w:t>软件升级完善项目总体遵循“标准统一、灵活兼容、开放共享、安全易用、稳定可靠、统一实施”的原则。</w:t>
      </w:r>
    </w:p>
    <w:p>
      <w:pPr>
        <w:numPr>
          <w:ilvl w:val="0"/>
          <w:numId w:val="5"/>
        </w:numPr>
        <w:suppressAutoHyphens/>
        <w:spacing w:line="360" w:lineRule="auto"/>
        <w:ind w:firstLine="357"/>
        <w:rPr>
          <w:rFonts w:ascii="Arial" w:hAnsi="Arial" w:cs="Arial"/>
          <w:sz w:val="24"/>
        </w:rPr>
      </w:pPr>
      <w:bookmarkStart w:id="29" w:name="_Toc527105752"/>
      <w:r>
        <w:rPr>
          <w:rFonts w:ascii="Arial" w:hAnsi="Arial" w:cs="Arial"/>
          <w:sz w:val="24"/>
        </w:rPr>
        <w:t>统一性原则</w:t>
      </w:r>
      <w:bookmarkEnd w:id="29"/>
    </w:p>
    <w:p>
      <w:pPr>
        <w:suppressAutoHyphens/>
        <w:spacing w:line="360" w:lineRule="auto"/>
        <w:ind w:firstLine="480" w:firstLineChars="200"/>
        <w:rPr>
          <w:rFonts w:ascii="Arial" w:hAnsi="Arial" w:cs="Arial"/>
          <w:sz w:val="24"/>
        </w:rPr>
      </w:pPr>
      <w:r>
        <w:rPr>
          <w:rFonts w:ascii="Arial" w:hAnsi="Arial" w:cs="Arial"/>
          <w:sz w:val="24"/>
        </w:rPr>
        <w:t>信息共享平台建设要遵循金保工程和金税三期的要求，原则上以省级为单位，统一规划、统一设计，遵循统一的技术规范和数据标准，按照“谁提供、谁负责”的原则，实现数据的统一交换。</w:t>
      </w:r>
    </w:p>
    <w:p>
      <w:pPr>
        <w:numPr>
          <w:ilvl w:val="0"/>
          <w:numId w:val="5"/>
        </w:numPr>
        <w:suppressAutoHyphens/>
        <w:spacing w:line="360" w:lineRule="auto"/>
        <w:ind w:firstLine="357"/>
        <w:rPr>
          <w:rFonts w:ascii="Arial" w:hAnsi="Arial" w:cs="Arial"/>
          <w:sz w:val="24"/>
        </w:rPr>
      </w:pPr>
      <w:bookmarkStart w:id="30" w:name="_Toc527105753"/>
      <w:r>
        <w:rPr>
          <w:rFonts w:ascii="Arial" w:hAnsi="Arial" w:cs="Arial"/>
          <w:sz w:val="24"/>
        </w:rPr>
        <w:t>稳定性原则</w:t>
      </w:r>
      <w:bookmarkEnd w:id="30"/>
    </w:p>
    <w:p>
      <w:pPr>
        <w:suppressAutoHyphens/>
        <w:spacing w:line="360" w:lineRule="auto"/>
        <w:ind w:firstLine="480" w:firstLineChars="200"/>
        <w:rPr>
          <w:rFonts w:ascii="Arial" w:hAnsi="Arial" w:cs="Arial"/>
          <w:sz w:val="24"/>
        </w:rPr>
      </w:pPr>
      <w:r>
        <w:rPr>
          <w:rFonts w:ascii="Arial" w:hAnsi="Arial" w:cs="Arial"/>
          <w:sz w:val="24"/>
        </w:rPr>
        <w:t>在软件系统设计时，要充分考虑系统平台的稳定性要求，尤其是要考虑城乡居民集中缴费、灵活就业人员以及单位职工个人按月缴费明细的数量级和并发数，保证关键业务的实时交互、异步交互和非正常情况的稳定运行。</w:t>
      </w:r>
    </w:p>
    <w:p>
      <w:pPr>
        <w:numPr>
          <w:ilvl w:val="0"/>
          <w:numId w:val="5"/>
        </w:numPr>
        <w:suppressAutoHyphens/>
        <w:spacing w:line="360" w:lineRule="auto"/>
        <w:ind w:firstLine="357"/>
        <w:rPr>
          <w:rFonts w:ascii="Arial" w:hAnsi="Arial" w:cs="Arial"/>
          <w:sz w:val="24"/>
        </w:rPr>
      </w:pPr>
      <w:bookmarkStart w:id="31" w:name="_Toc527105754"/>
      <w:r>
        <w:rPr>
          <w:rFonts w:ascii="Arial" w:hAnsi="Arial" w:cs="Arial"/>
          <w:sz w:val="24"/>
        </w:rPr>
        <w:t>扩展性原则</w:t>
      </w:r>
      <w:bookmarkEnd w:id="31"/>
    </w:p>
    <w:p>
      <w:pPr>
        <w:suppressAutoHyphens/>
        <w:spacing w:line="360" w:lineRule="auto"/>
        <w:ind w:firstLine="480" w:firstLineChars="200"/>
        <w:rPr>
          <w:rFonts w:ascii="Arial" w:hAnsi="Arial" w:cs="Arial"/>
          <w:color w:val="000000"/>
          <w:sz w:val="24"/>
        </w:rPr>
      </w:pPr>
      <w:r>
        <w:rPr>
          <w:rFonts w:ascii="Arial" w:hAnsi="Arial" w:cs="Arial"/>
          <w:color w:val="000000"/>
          <w:sz w:val="24"/>
        </w:rPr>
        <w:t>系统设计要有一定的前瞻性，应充分考虑现有技术以及业务未来发展要求，使共享平台系统具有较好的开放性和扩展性，平台设计要分层次、模块化、规范化，提高各应用层、各模块的独立性，尽可能减少模块间的数据耦合，使各相关系统间的数据依赖程度减至最低限度，同时要适当兼顾今后需求扩大时对功能扩展的需要。信息共享平台和节点应具备支撑多个应用系统的能力和节点个数的易扩充性。为满足我省个性化需求，可以采用新增数据表和业务规则的方式进行扩充。</w:t>
      </w:r>
    </w:p>
    <w:p>
      <w:pPr>
        <w:numPr>
          <w:ilvl w:val="0"/>
          <w:numId w:val="5"/>
        </w:numPr>
        <w:suppressAutoHyphens/>
        <w:spacing w:line="360" w:lineRule="auto"/>
        <w:ind w:firstLine="357"/>
        <w:rPr>
          <w:rFonts w:ascii="Arial" w:hAnsi="Arial" w:cs="Arial"/>
          <w:sz w:val="24"/>
        </w:rPr>
      </w:pPr>
      <w:bookmarkStart w:id="32" w:name="_Toc527105755"/>
      <w:r>
        <w:rPr>
          <w:rFonts w:ascii="Arial" w:hAnsi="Arial" w:cs="Arial"/>
          <w:sz w:val="24"/>
        </w:rPr>
        <w:t>兼容性原则</w:t>
      </w:r>
      <w:bookmarkEnd w:id="32"/>
    </w:p>
    <w:p>
      <w:pPr>
        <w:suppressAutoHyphens/>
        <w:spacing w:line="360" w:lineRule="auto"/>
        <w:ind w:firstLine="480" w:firstLineChars="200"/>
        <w:rPr>
          <w:rFonts w:ascii="Arial" w:hAnsi="Arial" w:cs="Arial"/>
          <w:color w:val="000000"/>
          <w:sz w:val="24"/>
        </w:rPr>
      </w:pPr>
      <w:r>
        <w:rPr>
          <w:rFonts w:ascii="Arial" w:hAnsi="Arial" w:cs="Arial"/>
          <w:color w:val="000000"/>
          <w:sz w:val="24"/>
        </w:rPr>
        <w:t>要采用适用XML、WebService、SOAP、LDAP、UDDI等当前受到普遍支持的国际开放标准，保证平台软件系统能够与现有的各级金保工程系统、金税三期系统以及其他平台的应用系统、数据库等相互交互数据，并进行应用级的互连性。</w:t>
      </w:r>
    </w:p>
    <w:p>
      <w:pPr>
        <w:numPr>
          <w:ilvl w:val="0"/>
          <w:numId w:val="5"/>
        </w:numPr>
        <w:suppressAutoHyphens/>
        <w:spacing w:line="360" w:lineRule="auto"/>
        <w:ind w:firstLine="357"/>
        <w:rPr>
          <w:rFonts w:ascii="Arial" w:hAnsi="Arial" w:cs="Arial"/>
          <w:sz w:val="24"/>
        </w:rPr>
      </w:pPr>
      <w:bookmarkStart w:id="33" w:name="_Toc527105756"/>
      <w:r>
        <w:rPr>
          <w:rFonts w:ascii="Arial" w:hAnsi="Arial" w:cs="Arial"/>
          <w:sz w:val="24"/>
        </w:rPr>
        <w:t>安全性原则</w:t>
      </w:r>
      <w:bookmarkEnd w:id="33"/>
    </w:p>
    <w:p>
      <w:pPr>
        <w:suppressAutoHyphens/>
        <w:spacing w:line="360" w:lineRule="auto"/>
        <w:ind w:firstLine="480" w:firstLineChars="200"/>
        <w:rPr>
          <w:rFonts w:ascii="Arial" w:hAnsi="Arial" w:cs="Arial"/>
          <w:color w:val="000000"/>
          <w:sz w:val="24"/>
        </w:rPr>
      </w:pPr>
      <w:r>
        <w:rPr>
          <w:rFonts w:ascii="Arial" w:hAnsi="Arial" w:cs="Arial"/>
          <w:color w:val="000000"/>
          <w:sz w:val="24"/>
        </w:rPr>
        <w:t>既要注重系统本身防御外部攻击的能力，又要提高数据传输的安全性，要遵循相应的保密规范，保证系统安全保密性、查错纠错能力、抗病毒能力等，安全等级要达到三级等级保护以上。</w:t>
      </w:r>
    </w:p>
    <w:p>
      <w:pPr>
        <w:numPr>
          <w:ilvl w:val="0"/>
          <w:numId w:val="5"/>
        </w:numPr>
        <w:suppressAutoHyphens/>
        <w:spacing w:line="360" w:lineRule="auto"/>
        <w:ind w:firstLine="357"/>
        <w:rPr>
          <w:rFonts w:ascii="Arial" w:hAnsi="Arial" w:cs="Arial"/>
          <w:sz w:val="24"/>
        </w:rPr>
      </w:pPr>
      <w:bookmarkStart w:id="34" w:name="_Toc527105757"/>
      <w:r>
        <w:rPr>
          <w:rFonts w:ascii="Arial" w:hAnsi="Arial" w:cs="Arial"/>
          <w:sz w:val="24"/>
        </w:rPr>
        <w:t>高效性原则</w:t>
      </w:r>
      <w:bookmarkEnd w:id="34"/>
    </w:p>
    <w:p>
      <w:pPr>
        <w:suppressAutoHyphens/>
        <w:spacing w:line="360" w:lineRule="auto"/>
        <w:ind w:firstLine="480" w:firstLineChars="200"/>
        <w:rPr>
          <w:rFonts w:ascii="Arial" w:hAnsi="Arial" w:cs="Arial"/>
          <w:sz w:val="24"/>
        </w:rPr>
      </w:pPr>
      <w:r>
        <w:rPr>
          <w:rFonts w:ascii="Arial" w:hAnsi="Arial" w:cs="Arial"/>
          <w:sz w:val="24"/>
        </w:rPr>
        <w:t>平台应用系统的运行效率主要包括：处理能力、处理速度、响应时间等，平台要在满足各项功能实现的前提下，应尽可能地提高系统的运行效率。</w:t>
      </w:r>
    </w:p>
    <w:p>
      <w:pPr>
        <w:suppressAutoHyphens/>
        <w:spacing w:line="360" w:lineRule="auto"/>
        <w:ind w:firstLine="482" w:firstLineChars="200"/>
        <w:rPr>
          <w:rFonts w:ascii="Arial" w:hAnsi="Arial" w:cs="Arial"/>
          <w:b/>
          <w:bCs/>
          <w:color w:val="000000"/>
          <w:sz w:val="24"/>
        </w:rPr>
      </w:pPr>
      <w:r>
        <w:rPr>
          <w:rFonts w:ascii="Arial" w:hAnsi="Arial" w:cs="Arial"/>
          <w:b/>
          <w:bCs/>
          <w:color w:val="000000"/>
          <w:sz w:val="24"/>
        </w:rPr>
        <w:t>五、项目验收要求</w:t>
      </w:r>
    </w:p>
    <w:p>
      <w:pPr>
        <w:suppressAutoHyphens/>
        <w:spacing w:line="360" w:lineRule="auto"/>
        <w:ind w:firstLine="480" w:firstLineChars="200"/>
        <w:rPr>
          <w:rFonts w:ascii="Arial" w:hAnsi="Arial" w:cs="Arial"/>
          <w:color w:val="000000"/>
          <w:sz w:val="24"/>
        </w:rPr>
      </w:pPr>
      <w:r>
        <w:rPr>
          <w:rFonts w:ascii="Arial" w:hAnsi="Arial" w:cs="Arial"/>
          <w:color w:val="000000"/>
          <w:sz w:val="24"/>
        </w:rPr>
        <w:t>社保费信息共享平台、社保费税银子系统，部署安装完毕，系统运行可靠，性能良好，能够满足业务正常运行要求。部署内容包括：前置系统，应用平台，数据库三个部分。验收范围包括：网络联通，安全策略配置，应用数据交换正常。</w:t>
      </w:r>
    </w:p>
    <w:p>
      <w:pPr>
        <w:suppressAutoHyphens/>
        <w:spacing w:line="360" w:lineRule="auto"/>
        <w:ind w:firstLine="482" w:firstLineChars="200"/>
        <w:rPr>
          <w:rFonts w:ascii="Arial" w:hAnsi="Arial" w:cs="Arial"/>
          <w:b/>
          <w:bCs/>
          <w:color w:val="000000"/>
          <w:sz w:val="24"/>
        </w:rPr>
      </w:pPr>
      <w:r>
        <w:rPr>
          <w:rFonts w:ascii="Arial" w:hAnsi="Arial" w:cs="Arial"/>
          <w:b/>
          <w:bCs/>
          <w:color w:val="000000"/>
          <w:sz w:val="24"/>
        </w:rPr>
        <w:t>六、项目技术支持服务要求</w:t>
      </w:r>
    </w:p>
    <w:p>
      <w:pPr>
        <w:suppressAutoHyphens/>
        <w:spacing w:line="360" w:lineRule="auto"/>
        <w:ind w:firstLine="480" w:firstLineChars="200"/>
        <w:rPr>
          <w:rFonts w:ascii="Arial" w:hAnsi="Arial" w:cs="Arial"/>
          <w:sz w:val="24"/>
        </w:rPr>
      </w:pPr>
      <w:r>
        <w:rPr>
          <w:rFonts w:ascii="Arial" w:hAnsi="Arial" w:cs="Arial"/>
          <w:sz w:val="24"/>
        </w:rPr>
        <w:t>本项目成立由招标方、中标方共同组成的项目管理机构，负责整个项目的实施工作。中标方的专职项目团队必须严格遵守国家的政策法规，执行项目管理机构的各项规章制度，服从管理和调度，认真履行工作职责，圆满完成工作任务。</w:t>
      </w:r>
    </w:p>
    <w:p>
      <w:pPr>
        <w:suppressAutoHyphens/>
        <w:spacing w:line="360" w:lineRule="auto"/>
        <w:ind w:firstLine="480" w:firstLineChars="200"/>
        <w:rPr>
          <w:rFonts w:ascii="Arial" w:hAnsi="Arial" w:cs="Arial"/>
          <w:sz w:val="24"/>
        </w:rPr>
      </w:pPr>
      <w:r>
        <w:rPr>
          <w:rFonts w:ascii="Arial" w:hAnsi="Arial" w:cs="Arial"/>
          <w:sz w:val="24"/>
        </w:rPr>
        <w:t>中标方应在项目开始时提交项目参与人员名单，经招标方确认。中标方应保证项目组成员的稳定性，如特殊情况需要调整项目组成员的，应提前一个月书面通知招标方，并获得招标方的确认后才能安排调整。</w:t>
      </w:r>
    </w:p>
    <w:p>
      <w:pPr>
        <w:suppressAutoHyphens/>
        <w:spacing w:line="360" w:lineRule="auto"/>
        <w:ind w:firstLine="480" w:firstLineChars="200"/>
        <w:rPr>
          <w:rFonts w:ascii="Arial" w:hAnsi="Arial" w:cs="Arial"/>
          <w:sz w:val="24"/>
        </w:rPr>
      </w:pPr>
      <w:r>
        <w:rPr>
          <w:rFonts w:ascii="Arial" w:hAnsi="Arial" w:cs="Arial"/>
          <w:sz w:val="24"/>
        </w:rPr>
        <w:t>中标方必须在项目过程中，选派工作责任心强、技术水平高、业务熟练、管理经验丰富的人员专职参加该项目。项目实施人员应与投标文件中所提供的人员名单相符，不经招标人许可随意变更，招标人有权追究投标人责任，并采取相应处罚措施。</w:t>
      </w:r>
    </w:p>
    <w:p>
      <w:pPr>
        <w:suppressAutoHyphens/>
        <w:spacing w:line="360" w:lineRule="auto"/>
        <w:ind w:firstLine="480" w:firstLineChars="200"/>
        <w:rPr>
          <w:rFonts w:ascii="Arial" w:hAnsi="Arial" w:cs="Arial"/>
          <w:sz w:val="24"/>
        </w:rPr>
      </w:pPr>
      <w:r>
        <w:rPr>
          <w:rFonts w:ascii="Arial" w:hAnsi="Arial" w:cs="Arial"/>
          <w:sz w:val="24"/>
        </w:rPr>
        <w:t>项目成员应熟练掌握技术技能，对税务知识有清晰的认识，各项目小组需具备不同的专业人员，项目成员分工应合理。</w:t>
      </w:r>
    </w:p>
    <w:p>
      <w:pPr>
        <w:suppressAutoHyphens/>
        <w:spacing w:line="360" w:lineRule="auto"/>
        <w:ind w:firstLine="480" w:firstLineChars="200"/>
        <w:rPr>
          <w:rFonts w:ascii="Arial" w:hAnsi="Arial" w:cs="Arial"/>
          <w:sz w:val="24"/>
        </w:rPr>
      </w:pPr>
      <w:r>
        <w:rPr>
          <w:rFonts w:ascii="Arial" w:hAnsi="Arial" w:cs="Arial"/>
          <w:sz w:val="24"/>
        </w:rPr>
        <w:t>招标方如认为中标方的项目组成员达不到要求，有权要求投标人更换，中标方必须在一周之内调换符合招标方要求的项目组成员。</w:t>
      </w:r>
    </w:p>
    <w:p>
      <w:pPr>
        <w:suppressAutoHyphens/>
        <w:spacing w:line="360" w:lineRule="auto"/>
        <w:ind w:firstLine="482" w:firstLineChars="200"/>
        <w:rPr>
          <w:rFonts w:ascii="Arial" w:hAnsi="Arial" w:cs="Arial"/>
          <w:b/>
          <w:bCs/>
          <w:color w:val="000000"/>
          <w:sz w:val="24"/>
        </w:rPr>
      </w:pPr>
      <w:r>
        <w:rPr>
          <w:rFonts w:ascii="Arial" w:hAnsi="Arial" w:cs="Arial"/>
          <w:b/>
          <w:bCs/>
          <w:color w:val="000000"/>
          <w:sz w:val="24"/>
        </w:rPr>
        <w:t>七、税收信息化项目开发和应用管理工作要求</w:t>
      </w:r>
    </w:p>
    <w:p>
      <w:pPr>
        <w:suppressAutoHyphens/>
        <w:spacing w:line="360" w:lineRule="auto"/>
        <w:ind w:firstLine="480" w:firstLineChars="200"/>
        <w:rPr>
          <w:rFonts w:ascii="Arial" w:hAnsi="Arial" w:cs="Arial"/>
          <w:sz w:val="24"/>
        </w:rPr>
      </w:pPr>
      <w:r>
        <w:rPr>
          <w:rFonts w:ascii="Arial" w:hAnsi="Arial" w:cs="Arial"/>
          <w:sz w:val="24"/>
        </w:rPr>
        <w:t>（一）中期报告审议要求</w:t>
      </w:r>
    </w:p>
    <w:p>
      <w:pPr>
        <w:suppressAutoHyphens/>
        <w:spacing w:line="360" w:lineRule="auto"/>
        <w:ind w:firstLine="480" w:firstLineChars="200"/>
        <w:rPr>
          <w:rFonts w:ascii="Arial" w:hAnsi="Arial" w:cs="Arial"/>
          <w:sz w:val="24"/>
        </w:rPr>
      </w:pPr>
      <w:r>
        <w:rPr>
          <w:rFonts w:ascii="Arial" w:hAnsi="Arial" w:cs="Arial"/>
          <w:sz w:val="24"/>
        </w:rPr>
        <w:t>中期报告审议由开发应用管理部门组织相关职能部门按照各自职责范围参加审议，原则上在信息化项目开发进度或时间进度达到60%左右时进行。审议的方式包括专题会议、专家评估、现场专项检查等。审议前，项目专项工作组提出审议申请并提交中期报告，经开发应用管理部门初核后进行审议。审议后，开发应用管理部门制发中期报告审议意见通知书。</w:t>
      </w:r>
    </w:p>
    <w:p>
      <w:pPr>
        <w:suppressAutoHyphens/>
        <w:spacing w:line="360" w:lineRule="auto"/>
        <w:ind w:firstLine="480" w:firstLineChars="200"/>
        <w:rPr>
          <w:rFonts w:ascii="Arial" w:hAnsi="Arial" w:cs="Arial"/>
          <w:sz w:val="24"/>
        </w:rPr>
      </w:pPr>
      <w:r>
        <w:rPr>
          <w:rFonts w:ascii="Arial" w:hAnsi="Arial" w:cs="Arial"/>
          <w:sz w:val="24"/>
        </w:rPr>
        <w:t>（二）验收资料审议要求</w:t>
      </w:r>
    </w:p>
    <w:p>
      <w:pPr>
        <w:suppressAutoHyphens/>
        <w:spacing w:line="360" w:lineRule="auto"/>
        <w:ind w:firstLine="480" w:firstLineChars="200"/>
        <w:rPr>
          <w:rFonts w:ascii="Arial" w:hAnsi="Arial" w:cs="Arial"/>
          <w:sz w:val="24"/>
        </w:rPr>
      </w:pPr>
      <w:r>
        <w:rPr>
          <w:rFonts w:ascii="Arial" w:hAnsi="Arial" w:cs="Arial"/>
          <w:sz w:val="24"/>
        </w:rPr>
        <w:t>验收资料审议由开发应用管理部门组织相关职能部门参与。需求部门在验收前提出项目验收申请，投标人按照验收材料清单要求提交项目验收材料，进行书面或会议审议并将审议意见反馈投标人。验收资料审议一般以书面方式开展，必要时以会议方式审议。</w:t>
      </w:r>
    </w:p>
    <w:p>
      <w:pPr>
        <w:suppressAutoHyphens/>
        <w:spacing w:line="360" w:lineRule="auto"/>
        <w:ind w:firstLine="480" w:firstLineChars="200"/>
        <w:rPr>
          <w:rFonts w:ascii="Arial" w:hAnsi="Arial" w:cs="Arial"/>
          <w:sz w:val="24"/>
        </w:rPr>
      </w:pPr>
      <w:r>
        <w:rPr>
          <w:rFonts w:ascii="Arial" w:hAnsi="Arial" w:cs="Arial"/>
          <w:sz w:val="24"/>
        </w:rPr>
        <w:t>（三）信息化服务商纳入失信名单后果</w:t>
      </w:r>
    </w:p>
    <w:p>
      <w:pPr>
        <w:suppressAutoHyphens/>
        <w:spacing w:line="360" w:lineRule="auto"/>
        <w:ind w:firstLine="480" w:firstLineChars="200"/>
        <w:rPr>
          <w:rFonts w:ascii="Arial" w:hAnsi="Arial" w:cs="Arial"/>
          <w:sz w:val="24"/>
        </w:rPr>
      </w:pPr>
      <w:r>
        <w:rPr>
          <w:rFonts w:ascii="Arial" w:hAnsi="Arial" w:cs="Arial"/>
          <w:sz w:val="24"/>
        </w:rPr>
        <w:t>对于一般失信行为的，由招标人网信办函告服务商；对于严重失信行为的，由招标人网信办约谈服务商主要负责人，按季将失信记录名单报送给税务总局网信办。对于影响恶劣的严重违法失信行为，将其推送至财政部纳入政府采购严重违法失信行为记录名单。</w:t>
      </w:r>
    </w:p>
    <w:p>
      <w:pPr>
        <w:suppressAutoHyphens/>
        <w:spacing w:line="360" w:lineRule="auto"/>
        <w:ind w:firstLine="482" w:firstLineChars="200"/>
        <w:rPr>
          <w:rFonts w:ascii="Arial" w:hAnsi="Arial" w:cs="Arial"/>
          <w:b/>
          <w:bCs/>
          <w:color w:val="000000"/>
          <w:sz w:val="24"/>
        </w:rPr>
      </w:pPr>
      <w:r>
        <w:rPr>
          <w:rFonts w:ascii="Arial" w:hAnsi="Arial" w:cs="Arial"/>
          <w:b/>
          <w:bCs/>
          <w:color w:val="000000"/>
          <w:sz w:val="24"/>
        </w:rPr>
        <w:t>八、其他要求</w:t>
      </w:r>
    </w:p>
    <w:p>
      <w:pPr>
        <w:suppressAutoHyphens/>
        <w:spacing w:line="360" w:lineRule="auto"/>
        <w:ind w:firstLine="480" w:firstLineChars="200"/>
        <w:rPr>
          <w:rFonts w:ascii="Arial" w:hAnsi="Arial" w:cs="Arial"/>
          <w:sz w:val="24"/>
        </w:rPr>
      </w:pPr>
      <w:r>
        <w:rPr>
          <w:rFonts w:ascii="Arial" w:hAnsi="Arial" w:cs="Arial"/>
          <w:sz w:val="24"/>
        </w:rPr>
        <w:t>（一）保密要求</w:t>
      </w:r>
    </w:p>
    <w:p>
      <w:pPr>
        <w:suppressAutoHyphens/>
        <w:spacing w:line="360" w:lineRule="auto"/>
        <w:ind w:firstLine="480" w:firstLineChars="200"/>
        <w:rPr>
          <w:rFonts w:ascii="Arial" w:hAnsi="Arial" w:cs="Arial"/>
          <w:sz w:val="24"/>
        </w:rPr>
      </w:pPr>
      <w:r>
        <w:rPr>
          <w:rFonts w:ascii="Arial" w:hAnsi="Arial" w:cs="Arial"/>
          <w:sz w:val="24"/>
        </w:rPr>
        <w:t>“保密信息”指招标人在关于本项目的磋商、谈判、签约、履行过程中或根据投标人的要求不时提供给予投标人的招标人自身所有信息和资料，包括但不限于由招标人所有或控制的关于招标人的组织架构、人员信息、网络信息、服务器信息、软件系统信息、业务数据、总局及本局发布公文、会议纪要、往来邮件等，无论以何种形式或载于何种载体，也无论该信息或数据是否以书面、录音、录像、图像或口头形式提供。但以下信息不应被视为保密信息：如果相关信息，（1）在披露时已被公众所知晓；（2）经披露后已为公众所知晓（经由投标人的行为而披露的除外）；或（3）系由投标人依照法律、法规规定的要求而披露的信息；（4）由投标人独立开发与保密信息无关联的信息（即没有参照或借鉴保密信息）；或（5）在本项目合同签署之后由第三方获得的信息，且投标人并不知晓该第三方对招标人负有任何形式的保密义务。</w:t>
      </w:r>
    </w:p>
    <w:p>
      <w:pPr>
        <w:suppressAutoHyphens/>
        <w:spacing w:line="360" w:lineRule="auto"/>
        <w:ind w:firstLine="480" w:firstLineChars="200"/>
        <w:rPr>
          <w:rFonts w:ascii="Arial" w:hAnsi="Arial" w:cs="Arial"/>
          <w:sz w:val="24"/>
        </w:rPr>
      </w:pPr>
      <w:r>
        <w:rPr>
          <w:rFonts w:ascii="Arial" w:hAnsi="Arial" w:cs="Arial"/>
          <w:sz w:val="24"/>
        </w:rPr>
        <w:t>投标人不得向其他任何人（其有合理知晓需要的除外）披露任何保密信息，也不得在本项目之外，以任何方式使用该等信息。在招标人提出要求的情况下，投标人应将其获得的保密信息，按招标人要求的时间和方式返还给招标人，或者按照招标人要求的方式销毁包含保密信息的文件和记录。投标人应确保本项目有权接触保密信息的投标人的代表不得向任何第三方披露任何保密信息。</w:t>
      </w:r>
    </w:p>
    <w:p>
      <w:pPr>
        <w:suppressAutoHyphens/>
        <w:spacing w:line="360" w:lineRule="auto"/>
        <w:ind w:firstLine="480" w:firstLineChars="200"/>
        <w:rPr>
          <w:rFonts w:ascii="Arial" w:hAnsi="Arial" w:cs="Arial"/>
          <w:sz w:val="24"/>
        </w:rPr>
      </w:pPr>
      <w:r>
        <w:rPr>
          <w:rFonts w:ascii="Arial" w:hAnsi="Arial" w:cs="Arial"/>
          <w:sz w:val="24"/>
        </w:rPr>
        <w:t>如果投标人或第三方存在任何实际发生的或者疑似的保密信息被窃事件，投标人必须在发现实际发生或疑似情况的24小时内做到：（i）通知招标人；（ii）预估泄露和/或入侵对招标人的影响；（iii）确定要采取的整改措施；以及（iv）调查并且确定入侵和/或泄露是否实际发生。如果通过调查，投标人确认确实发生泄露和/或入侵，其必须立即调查泄露和/或入侵的范围并且必须立即采取整改措施以防止进一步的泄露和/或入侵。投标人必须在确认泄露和/或入侵事件发生的48小时内，向招标人发出一份包含告泄露和/或入侵细节的书面报告，包括被泄露信息的性质以及投标人已经采取的防止进一步泄露和/或入侵的整改措施。在泄露发生的情况下，投标人必须充分配合招标人通知相关方关于信息被泄露的事实和情况。此外，投标人必须充分配合所有拥有调查泄露和/或任何已知的或疑似的犯罪行为的管辖和权力的政府监管机构以及执法机构。投标人应按本项要求向招标人的注册地址发送书面报告。</w:t>
      </w:r>
    </w:p>
    <w:p>
      <w:pPr>
        <w:suppressAutoHyphens/>
        <w:spacing w:line="360" w:lineRule="auto"/>
        <w:rPr>
          <w:rFonts w:ascii="Arial" w:hAnsi="Arial" w:cs="Arial"/>
          <w:sz w:val="24"/>
        </w:rPr>
      </w:pPr>
      <w:r>
        <w:rPr>
          <w:rFonts w:ascii="Arial" w:hAnsi="Arial" w:cs="Arial"/>
          <w:sz w:val="24"/>
        </w:rPr>
        <w:tab/>
      </w:r>
      <w:r>
        <w:rPr>
          <w:rFonts w:ascii="Arial" w:hAnsi="Arial" w:cs="Arial"/>
          <w:sz w:val="24"/>
        </w:rPr>
        <w:t>投标人因履行服务而通过准备、访问、调查、加工、处理、录入、存储、开发等方式获取的所有资料、数据、信息、图像、视频、文件以及其他物品和材料，包括但不限于问卷调查内容、市场调研数据、访问录音、访问笔录、英文翻译等，视为工作成果。工作成果应于其产生时视同自动成为招标人的财产，招标人在全球范围内排他地拥有工作成果的全部所有权、著作权、专利权、商标权、商业秘密及其它任何知识产权和其他权益，投标人对此不得有任何权利或主张，且招标人不因使用或利用工作成果而对投标人或任何其他方承担任何义务。</w:t>
      </w:r>
    </w:p>
    <w:p>
      <w:pPr>
        <w:suppressAutoHyphens/>
        <w:spacing w:line="360" w:lineRule="auto"/>
        <w:ind w:firstLine="480" w:firstLineChars="200"/>
        <w:rPr>
          <w:rFonts w:ascii="Arial" w:hAnsi="Arial" w:cs="Arial"/>
          <w:sz w:val="24"/>
        </w:rPr>
      </w:pPr>
      <w:r>
        <w:rPr>
          <w:rFonts w:ascii="Arial" w:hAnsi="Arial" w:cs="Arial"/>
          <w:sz w:val="24"/>
        </w:rPr>
        <w:t>（二）归档要求</w:t>
      </w:r>
    </w:p>
    <w:p>
      <w:pPr>
        <w:suppressAutoHyphens/>
        <w:spacing w:line="360" w:lineRule="auto"/>
        <w:rPr>
          <w:rFonts w:ascii="Arial" w:hAnsi="Arial" w:cs="Arial"/>
          <w:sz w:val="24"/>
        </w:rPr>
      </w:pPr>
      <w:r>
        <w:rPr>
          <w:rFonts w:ascii="Arial" w:hAnsi="Arial" w:cs="Arial"/>
          <w:sz w:val="24"/>
        </w:rPr>
        <w:tab/>
      </w:r>
      <w:r>
        <w:rPr>
          <w:rFonts w:ascii="Arial" w:hAnsi="Arial" w:cs="Arial"/>
          <w:sz w:val="24"/>
        </w:rPr>
        <w:t>项目验收前，投标方需要遵照招标方要求配合其完成对项目资料的归档工作。</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6964A43"/>
    <w:multiLevelType w:val="multilevel"/>
    <w:tmpl w:val="06964A43"/>
    <w:lvl w:ilvl="0" w:tentative="0">
      <w:start w:val="1"/>
      <w:numFmt w:val="decimal"/>
      <w:lvlText w:val="（%1）"/>
      <w:lvlJc w:val="left"/>
      <w:pPr>
        <w:ind w:left="1280" w:hanging="720"/>
      </w:pPr>
    </w:lvl>
    <w:lvl w:ilvl="1" w:tentative="0">
      <w:start w:val="1"/>
      <w:numFmt w:val="lowerLetter"/>
      <w:lvlText w:val="%2)"/>
      <w:lvlJc w:val="left"/>
      <w:pPr>
        <w:ind w:left="1400" w:hanging="420"/>
      </w:pPr>
    </w:lvl>
    <w:lvl w:ilvl="2" w:tentative="0">
      <w:start w:val="1"/>
      <w:numFmt w:val="lowerRoman"/>
      <w:lvlText w:val="%3."/>
      <w:lvlJc w:val="right"/>
      <w:pPr>
        <w:ind w:left="1820" w:hanging="420"/>
      </w:pPr>
    </w:lvl>
    <w:lvl w:ilvl="3" w:tentative="0">
      <w:start w:val="1"/>
      <w:numFmt w:val="decimal"/>
      <w:lvlText w:val="%4."/>
      <w:lvlJc w:val="left"/>
      <w:pPr>
        <w:ind w:left="2240" w:hanging="420"/>
      </w:pPr>
    </w:lvl>
    <w:lvl w:ilvl="4" w:tentative="0">
      <w:start w:val="1"/>
      <w:numFmt w:val="lowerLetter"/>
      <w:lvlText w:val="%5)"/>
      <w:lvlJc w:val="left"/>
      <w:pPr>
        <w:ind w:left="2660" w:hanging="420"/>
      </w:pPr>
    </w:lvl>
    <w:lvl w:ilvl="5" w:tentative="0">
      <w:start w:val="1"/>
      <w:numFmt w:val="lowerRoman"/>
      <w:lvlText w:val="%6."/>
      <w:lvlJc w:val="right"/>
      <w:pPr>
        <w:ind w:left="3080" w:hanging="420"/>
      </w:pPr>
    </w:lvl>
    <w:lvl w:ilvl="6" w:tentative="0">
      <w:start w:val="1"/>
      <w:numFmt w:val="decimal"/>
      <w:lvlText w:val="%7."/>
      <w:lvlJc w:val="left"/>
      <w:pPr>
        <w:ind w:left="3500" w:hanging="420"/>
      </w:pPr>
    </w:lvl>
    <w:lvl w:ilvl="7" w:tentative="0">
      <w:start w:val="1"/>
      <w:numFmt w:val="lowerLetter"/>
      <w:lvlText w:val="%8)"/>
      <w:lvlJc w:val="left"/>
      <w:pPr>
        <w:ind w:left="3920" w:hanging="420"/>
      </w:pPr>
    </w:lvl>
    <w:lvl w:ilvl="8" w:tentative="0">
      <w:start w:val="1"/>
      <w:numFmt w:val="lowerRoman"/>
      <w:lvlText w:val="%9."/>
      <w:lvlJc w:val="right"/>
      <w:pPr>
        <w:ind w:left="4340" w:hanging="420"/>
      </w:pPr>
    </w:lvl>
  </w:abstractNum>
  <w:abstractNum w:abstractNumId="1">
    <w:nsid w:val="39BC282A"/>
    <w:multiLevelType w:val="multilevel"/>
    <w:tmpl w:val="39BC282A"/>
    <w:lvl w:ilvl="0" w:tentative="0">
      <w:start w:val="1"/>
      <w:numFmt w:val="chineseCountingThousand"/>
      <w:lvlText w:val="(%1)"/>
      <w:lvlJc w:val="left"/>
      <w:pPr>
        <w:ind w:left="0" w:firstLine="420"/>
      </w:pPr>
    </w:lvl>
    <w:lvl w:ilvl="1" w:tentative="0">
      <w:start w:val="1"/>
      <w:numFmt w:val="chineseCountingThousand"/>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2">
    <w:nsid w:val="4C09309C"/>
    <w:multiLevelType w:val="multilevel"/>
    <w:tmpl w:val="4C09309C"/>
    <w:lvl w:ilvl="0" w:tentative="0">
      <w:start w:val="1"/>
      <w:numFmt w:val="chineseCountingThousand"/>
      <w:lvlText w:val="(%1)"/>
      <w:lvlJc w:val="left"/>
      <w:pPr>
        <w:ind w:left="0" w:firstLine="420"/>
      </w:pPr>
    </w:lvl>
    <w:lvl w:ilvl="1" w:tentative="0">
      <w:start w:val="1"/>
      <w:numFmt w:val="chineseCountingThousand"/>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3">
    <w:nsid w:val="59142D8D"/>
    <w:multiLevelType w:val="multilevel"/>
    <w:tmpl w:val="59142D8D"/>
    <w:lvl w:ilvl="0" w:tentative="0">
      <w:start w:val="1"/>
      <w:numFmt w:val="chineseCountingThousand"/>
      <w:lvlText w:val="(%1)"/>
      <w:lvlJc w:val="left"/>
      <w:pPr>
        <w:ind w:left="210" w:firstLine="420"/>
      </w:pPr>
    </w:lvl>
    <w:lvl w:ilvl="1" w:tentative="0">
      <w:start w:val="1"/>
      <w:numFmt w:val="chineseCountingThousand"/>
      <w:lvlText w:val="(%2)"/>
      <w:lvlJc w:val="left"/>
      <w:pPr>
        <w:ind w:left="1470" w:hanging="420"/>
      </w:pPr>
    </w:lvl>
    <w:lvl w:ilvl="2" w:tentative="0">
      <w:start w:val="1"/>
      <w:numFmt w:val="lowerRoman"/>
      <w:lvlText w:val="%3."/>
      <w:lvlJc w:val="right"/>
      <w:pPr>
        <w:ind w:left="1890" w:hanging="420"/>
      </w:pPr>
    </w:lvl>
    <w:lvl w:ilvl="3" w:tentative="0">
      <w:start w:val="1"/>
      <w:numFmt w:val="decimal"/>
      <w:lvlText w:val="%4."/>
      <w:lvlJc w:val="left"/>
      <w:pPr>
        <w:ind w:left="2310" w:hanging="420"/>
      </w:pPr>
    </w:lvl>
    <w:lvl w:ilvl="4" w:tentative="0">
      <w:start w:val="1"/>
      <w:numFmt w:val="lowerLetter"/>
      <w:lvlText w:val="%5)"/>
      <w:lvlJc w:val="left"/>
      <w:pPr>
        <w:ind w:left="2730" w:hanging="420"/>
      </w:pPr>
    </w:lvl>
    <w:lvl w:ilvl="5" w:tentative="0">
      <w:start w:val="1"/>
      <w:numFmt w:val="lowerRoman"/>
      <w:lvlText w:val="%6."/>
      <w:lvlJc w:val="right"/>
      <w:pPr>
        <w:ind w:left="3150" w:hanging="420"/>
      </w:pPr>
    </w:lvl>
    <w:lvl w:ilvl="6" w:tentative="0">
      <w:start w:val="1"/>
      <w:numFmt w:val="decimal"/>
      <w:lvlText w:val="%7."/>
      <w:lvlJc w:val="left"/>
      <w:pPr>
        <w:ind w:left="3570" w:hanging="420"/>
      </w:pPr>
    </w:lvl>
    <w:lvl w:ilvl="7" w:tentative="0">
      <w:start w:val="1"/>
      <w:numFmt w:val="lowerLetter"/>
      <w:lvlText w:val="%8)"/>
      <w:lvlJc w:val="left"/>
      <w:pPr>
        <w:ind w:left="3990" w:hanging="420"/>
      </w:pPr>
    </w:lvl>
    <w:lvl w:ilvl="8" w:tentative="0">
      <w:start w:val="1"/>
      <w:numFmt w:val="lowerRoman"/>
      <w:lvlText w:val="%9."/>
      <w:lvlJc w:val="right"/>
      <w:pPr>
        <w:ind w:left="4410" w:hanging="420"/>
      </w:pPr>
    </w:lvl>
  </w:abstractNum>
  <w:abstractNum w:abstractNumId="4">
    <w:nsid w:val="64416D91"/>
    <w:multiLevelType w:val="multilevel"/>
    <w:tmpl w:val="64416D91"/>
    <w:lvl w:ilvl="0" w:tentative="0">
      <w:start w:val="1"/>
      <w:numFmt w:val="bullet"/>
      <w:lvlText w:val=""/>
      <w:lvlJc w:val="left"/>
      <w:pPr>
        <w:ind w:left="900" w:hanging="420"/>
      </w:pPr>
      <w:rPr>
        <w:rFonts w:hint="default" w:ascii="Wingdings" w:hAnsi="Wingdings"/>
      </w:rPr>
    </w:lvl>
    <w:lvl w:ilvl="1" w:tentative="0">
      <w:start w:val="1"/>
      <w:numFmt w:val="bullet"/>
      <w:lvlText w:val=""/>
      <w:lvlJc w:val="left"/>
      <w:pPr>
        <w:ind w:left="1320" w:hanging="42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num w:numId="1">
    <w:abstractNumId w:val="4"/>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63B514B"/>
    <w:rsid w:val="063B514B"/>
    <w:rsid w:val="3F745E49"/>
    <w:rsid w:val="583331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spacing w:before="340" w:after="330" w:line="576" w:lineRule="auto"/>
      <w:outlineLvl w:val="0"/>
    </w:pPr>
    <w:rPr>
      <w:b/>
      <w:bCs/>
      <w:kern w:val="44"/>
      <w:sz w:val="44"/>
      <w:szCs w:val="44"/>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customStyle="1" w:styleId="5">
    <w:name w:val="lulu标题1"/>
    <w:basedOn w:val="2"/>
    <w:qFormat/>
    <w:uiPriority w:val="0"/>
    <w:pPr>
      <w:adjustRightInd w:val="0"/>
      <w:spacing w:line="480" w:lineRule="auto"/>
      <w:jc w:val="center"/>
    </w:pPr>
    <w:rPr>
      <w:bCs w:val="0"/>
      <w:sz w:val="36"/>
      <w:szCs w:val="36"/>
    </w:rPr>
  </w:style>
  <w:style w:type="paragraph" w:customStyle="1" w:styleId="6">
    <w:name w:val="列表段落1"/>
    <w:basedOn w:val="1"/>
    <w:qFormat/>
    <w:uiPriority w:val="34"/>
    <w:pPr>
      <w:ind w:firstLine="420" w:firstLineChars="200"/>
    </w:pPr>
    <w:rPr>
      <w:rFonts w:ascii="Cambria" w:hAnsi="Cambria"/>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21</TotalTime>
  <ScaleCrop>false</ScaleCrop>
  <LinksUpToDate>false</LinksUpToDate>
  <CharactersWithSpaces>0</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2022-05-24T03:09:00Z</dcterms:created>
  <dc:creator>谁舞宸庸</dc:creator>
  <cp:lastModifiedBy>网站编辑部</cp:lastModifiedBy>
  <dcterms:modified xsi:type="dcterms:W3CDTF">2025-06-25T06:07:16Z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y fmtid="{D5CDD505-2E9C-101B-9397-08002B2CF9AE}" pid="3" name="ICV">
    <vt:lpwstr>9788CC1C676C45088ABFE3E860E8ED77</vt:lpwstr>
  </property>
</Properties>
</file>