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kern w:val="2"/>
          <w:sz w:val="36"/>
          <w:szCs w:val="36"/>
        </w:rPr>
      </w:pPr>
      <w:r>
        <w:rPr>
          <w:rFonts w:hint="eastAsia" w:ascii="宋体" w:hAnsi="宋体" w:eastAsia="宋体" w:cs="宋体"/>
          <w:b/>
          <w:bCs w:val="0"/>
          <w:kern w:val="2"/>
          <w:sz w:val="36"/>
          <w:szCs w:val="36"/>
          <w:lang w:val="en-US" w:eastAsia="zh-CN" w:bidi="ar"/>
        </w:rPr>
        <w:t>国家税务总局盘锦市税务局</w:t>
      </w:r>
    </w:p>
    <w:p>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kern w:val="2"/>
          <w:sz w:val="36"/>
          <w:szCs w:val="36"/>
          <w:lang w:val="en-US" w:eastAsia="zh-CN" w:bidi="ar"/>
        </w:rPr>
      </w:pPr>
      <w:r>
        <w:rPr>
          <w:rFonts w:hint="eastAsia" w:ascii="宋体" w:hAnsi="宋体" w:eastAsia="宋体" w:cs="宋体"/>
          <w:b/>
          <w:bCs w:val="0"/>
          <w:kern w:val="2"/>
          <w:sz w:val="36"/>
          <w:szCs w:val="36"/>
          <w:lang w:val="en-US" w:eastAsia="zh-CN" w:bidi="ar"/>
        </w:rPr>
        <w:t>堡垒机采购需求</w:t>
      </w:r>
    </w:p>
    <w:p>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kern w:val="2"/>
          <w:sz w:val="36"/>
          <w:szCs w:val="36"/>
          <w:lang w:val="en-US" w:eastAsia="zh-CN" w:bidi="ar"/>
        </w:rPr>
      </w:pPr>
    </w:p>
    <w:p>
      <w:pPr>
        <w:pStyle w:val="4"/>
        <w:widowControl/>
        <w:numPr>
          <w:ilvl w:val="0"/>
          <w:numId w:val="1"/>
        </w:numPr>
        <w:spacing w:before="312" w:beforeLines="100" w:beforeAutospacing="0"/>
        <w:ind w:left="420" w:hanging="420" w:firstLineChars="0"/>
        <w:jc w:val="left"/>
        <w:rPr>
          <w:rFonts w:hint="eastAsia" w:ascii="仿宋" w:hAnsi="仿宋" w:eastAsia="仿宋" w:cs="Times New Roman"/>
          <w:b/>
          <w:bCs w:val="0"/>
          <w:kern w:val="2"/>
          <w:sz w:val="36"/>
          <w:szCs w:val="36"/>
        </w:rPr>
      </w:pPr>
      <w:r>
        <w:rPr>
          <w:rFonts w:hint="eastAsia" w:ascii="仿宋" w:hAnsi="仿宋" w:eastAsia="仿宋" w:cs="仿宋"/>
          <w:b/>
          <w:bCs w:val="0"/>
          <w:kern w:val="2"/>
          <w:sz w:val="36"/>
          <w:szCs w:val="36"/>
        </w:rPr>
        <w:t>项目设备需求一览表</w:t>
      </w:r>
    </w:p>
    <w:p>
      <w:pPr>
        <w:pStyle w:val="5"/>
        <w:widowControl/>
        <w:numPr>
          <w:ilvl w:val="0"/>
          <w:numId w:val="0"/>
        </w:numPr>
        <w:ind w:right="0" w:rightChars="0" w:firstLine="422" w:firstLineChars="200"/>
        <w:rPr>
          <w:rFonts w:hint="eastAsia" w:ascii="宋体" w:hAnsi="宋体" w:eastAsia="宋体" w:cs="Times New Roman"/>
          <w:color w:val="000000"/>
          <w:kern w:val="2"/>
          <w:sz w:val="21"/>
          <w:szCs w:val="21"/>
        </w:rPr>
      </w:pPr>
      <w:r>
        <w:rPr>
          <w:rFonts w:hint="eastAsia" w:ascii="宋体" w:hAnsi="宋体" w:eastAsia="宋体" w:cs="宋体"/>
          <w:b/>
          <w:bCs w:val="0"/>
          <w:kern w:val="2"/>
          <w:sz w:val="21"/>
          <w:szCs w:val="21"/>
          <w:lang w:val="en-US" w:eastAsia="zh-CN" w:bidi="ar"/>
        </w:rPr>
        <w:t>注：</w:t>
      </w:r>
      <w:r>
        <w:rPr>
          <w:rFonts w:hint="eastAsia" w:ascii="宋体" w:hAnsi="宋体" w:eastAsia="宋体" w:cs="宋体"/>
          <w:color w:val="000000"/>
          <w:kern w:val="2"/>
          <w:sz w:val="21"/>
          <w:szCs w:val="21"/>
        </w:rPr>
        <w:t>要求</w:t>
      </w:r>
      <w:r>
        <w:rPr>
          <w:rFonts w:hint="eastAsia" w:ascii="宋体" w:hAnsi="宋体" w:cs="宋体"/>
          <w:color w:val="000000"/>
          <w:kern w:val="2"/>
          <w:sz w:val="21"/>
          <w:szCs w:val="21"/>
          <w:lang w:eastAsia="zh-CN"/>
        </w:rPr>
        <w:t>供货商</w:t>
      </w:r>
      <w:r>
        <w:rPr>
          <w:rFonts w:hint="eastAsia" w:ascii="宋体" w:hAnsi="宋体" w:eastAsia="宋体" w:cs="宋体"/>
          <w:color w:val="000000"/>
          <w:kern w:val="2"/>
          <w:sz w:val="21"/>
          <w:szCs w:val="21"/>
        </w:rPr>
        <w:t>必须对该项目有深入了解，所投产品需完全满足设备需求一览表中所有参数指标，同时提供产品检测报告（提供国家权威机构认证复印件）、</w:t>
      </w:r>
      <w:r>
        <w:rPr>
          <w:rFonts w:hint="eastAsia" w:ascii="宋体" w:hAnsi="宋体" w:eastAsia="宋体" w:cs="Times New Roman"/>
          <w:color w:val="000000"/>
          <w:kern w:val="2"/>
          <w:sz w:val="21"/>
          <w:szCs w:val="21"/>
        </w:rPr>
        <w:t>3C</w:t>
      </w:r>
      <w:r>
        <w:rPr>
          <w:rFonts w:hint="eastAsia" w:ascii="宋体" w:hAnsi="宋体" w:eastAsia="宋体" w:cs="宋体"/>
          <w:color w:val="000000"/>
          <w:kern w:val="2"/>
          <w:sz w:val="21"/>
          <w:szCs w:val="21"/>
        </w:rPr>
        <w:t>认证等，</w:t>
      </w:r>
      <w:r>
        <w:rPr>
          <w:rFonts w:hint="eastAsia" w:ascii="宋体" w:hAnsi="宋体" w:cs="宋体"/>
          <w:color w:val="000000"/>
          <w:kern w:val="2"/>
          <w:sz w:val="21"/>
          <w:szCs w:val="21"/>
          <w:lang w:eastAsia="zh-CN"/>
        </w:rPr>
        <w:t>并</w:t>
      </w:r>
      <w:r>
        <w:rPr>
          <w:rFonts w:hint="eastAsia" w:ascii="宋体" w:hAnsi="宋体" w:eastAsia="宋体" w:cs="宋体"/>
          <w:color w:val="000000"/>
          <w:kern w:val="2"/>
          <w:sz w:val="21"/>
          <w:szCs w:val="21"/>
        </w:rPr>
        <w:t>在签订合同前提供上述资料原件备查，否则采购人有权取消资格；</w:t>
      </w:r>
    </w:p>
    <w:p>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kern w:val="2"/>
          <w:sz w:val="36"/>
          <w:szCs w:val="36"/>
          <w:lang w:val="en-US" w:eastAsia="zh-CN" w:bidi="ar"/>
        </w:rPr>
      </w:pPr>
    </w:p>
    <w:tbl>
      <w:tblPr>
        <w:tblStyle w:val="2"/>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71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8301" w:type="dxa"/>
            <w:gridSpan w:val="2"/>
            <w:tcBorders>
              <w:top w:val="single" w:color="auto" w:sz="4" w:space="0"/>
              <w:left w:val="single" w:color="auto" w:sz="4" w:space="0"/>
              <w:bottom w:val="single" w:color="auto" w:sz="4" w:space="0"/>
              <w:right w:val="single" w:color="auto" w:sz="4" w:space="0"/>
            </w:tcBorders>
            <w:shd w:val="clear" w:color="auto" w:fill="00B0F0"/>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
              </w:rPr>
              <w:t>技术要求（</w:t>
            </w:r>
            <w:r>
              <w:rPr>
                <w:rFonts w:hint="eastAsia" w:ascii="宋体" w:hAnsi="宋体" w:eastAsia="宋体" w:cs="宋体"/>
                <w:kern w:val="2"/>
                <w:sz w:val="21"/>
                <w:szCs w:val="21"/>
              </w:rPr>
              <w:t>本采购需求文件中，凡标注“★”号的条款为关键指标或要求，不允许有负偏离，否则</w:t>
            </w:r>
            <w:r>
              <w:rPr>
                <w:rFonts w:hint="eastAsia" w:ascii="宋体" w:hAnsi="宋体" w:eastAsia="宋体" w:cs="宋体"/>
                <w:kern w:val="2"/>
                <w:sz w:val="21"/>
                <w:szCs w:val="21"/>
                <w:lang w:eastAsia="zh-CN"/>
              </w:rPr>
              <w:t>中标</w:t>
            </w:r>
            <w:r>
              <w:rPr>
                <w:rFonts w:hint="eastAsia" w:ascii="宋体" w:hAnsi="宋体" w:eastAsia="宋体" w:cs="宋体"/>
                <w:kern w:val="2"/>
                <w:sz w:val="21"/>
                <w:szCs w:val="21"/>
              </w:rPr>
              <w:t>无效</w:t>
            </w:r>
            <w:r>
              <w:rPr>
                <w:rFonts w:hint="eastAsia" w:ascii="宋体" w:hAnsi="宋体" w:eastAsia="宋体" w:cs="宋体"/>
                <w:kern w:val="0"/>
                <w:sz w:val="21"/>
                <w:szCs w:val="21"/>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34"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
              </w:rPr>
              <w:t>基本参数</w:t>
            </w:r>
          </w:p>
        </w:tc>
        <w:tc>
          <w:tcPr>
            <w:tcW w:w="716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lang w:val="en-US" w:eastAsia="zh-CN"/>
              </w:rPr>
            </w:pPr>
            <w:r>
              <w:rPr>
                <w:rFonts w:hint="eastAsia"/>
              </w:rPr>
              <w:t>1U机型，console口≥1个，USB口≥2个，千兆电口≥6个，SFP插槽≥2个，可扩展槽≥2个，电源≥1个，存储≥2T，主机/设备许可≥100个和2年软件升级。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
              </w:rPr>
              <w:t>功能参数</w:t>
            </w:r>
          </w:p>
        </w:tc>
        <w:tc>
          <w:tcPr>
            <w:tcW w:w="7167"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1、支持物理旁路部署，不改变现有网络结构，支持用户的增减改查、锁定、解锁、清空等操作，对用户进行生命周期管理；</w:t>
            </w:r>
          </w:p>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2、可支持用户管理、用户组管理、角色管理、认证管理、证书管理、消息管理用以在系统中配置指定的用户，通过指定的应用发布服务器进行访问；</w:t>
            </w:r>
          </w:p>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3、支持系统管理员、保密管理员、密码管理员、安全审计员、密保员、运维管理员、操作员其中角色；同时也可按需分配角色权限，权限间相互制约。</w:t>
            </w:r>
          </w:p>
          <w:p>
            <w:pPr>
              <w:keepNext w:val="0"/>
              <w:keepLines w:val="0"/>
              <w:widowControl/>
              <w:suppressLineNumbers w:val="0"/>
              <w:spacing w:before="0" w:beforeAutospacing="0" w:after="0" w:afterAutospacing="0"/>
              <w:ind w:left="0" w:right="0"/>
              <w:jc w:val="both"/>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支持首页动态展现资源总量、活动用户、实时会话、待审批工单、当日运维记录、资产运行状态、今日运维总数、今日运维时长TOP10、今日告警总数、今日运维指令TOP10等信息，方便管理员实时查看系统运行情况，掌握资产会话连接情况。</w:t>
            </w:r>
          </w:p>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5、可通过应用发布的方式进行协议扩展，如浏览器（http、https）、数据库（oracle、mysql、sql、server、db2、informix、sybase、postgresql等）、c/s客户端工具（vmware等）。</w:t>
            </w:r>
          </w:p>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6、可以稽核：僵尸、幽灵、孤儿账</w:t>
            </w:r>
            <w:bookmarkStart w:id="0" w:name="_GoBack"/>
            <w:bookmarkEnd w:id="0"/>
            <w:r>
              <w:rPr>
                <w:rFonts w:hint="eastAsia" w:ascii="宋体" w:hAnsi="宋体" w:eastAsia="宋体" w:cs="宋体"/>
                <w:kern w:val="0"/>
                <w:sz w:val="21"/>
                <w:szCs w:val="21"/>
                <w:lang w:val="en-US" w:eastAsia="zh-CN" w:bidi="ar"/>
              </w:rPr>
              <w:t>号，并可以导出异常账号稽核情况报告，方便管理员统计异常账号情况；</w:t>
            </w:r>
          </w:p>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★7、支持各种自定义客户端工具，支持通过动作流配置提供广泛的应用接入支持，在不做二次开发的情况下，可灵活扩展且实现账号口令的代填；支持windows server2008/2012/2016/2019作为应用发布服务器；支持多台应用发布器组成集群，系统自动负载会话到其他运行正常且安装相同软件的应用发布服务器。</w:t>
            </w:r>
          </w:p>
          <w:p>
            <w:pPr>
              <w:keepNext w:val="0"/>
              <w:keepLines w:val="0"/>
              <w:widowControl/>
              <w:suppressLineNumbers w:val="0"/>
              <w:spacing w:before="0" w:beforeAutospacing="0" w:after="0" w:afterAutospacing="0"/>
              <w:ind w:left="0" w:right="0"/>
              <w:jc w:val="both"/>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8、支持对用户和管理员的认证登录、操作和配置管理进行日志记录。支持通过应用发布实现数据库操作的命令级审计和图形审计的双重审计效果。</w:t>
            </w:r>
          </w:p>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9、支持操作过程录像回放，支持录像回放时暂停，支持设置播放速度，支持过滤静止方便录像的查看；</w:t>
            </w:r>
          </w:p>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★10、支持离线回放重现维护人员对服务器的所有操作过程（回放文件下载到本地播放）支持操作记录视频回放时水印显示运维用户；</w:t>
            </w:r>
          </w:p>
          <w:p>
            <w:pPr>
              <w:keepNext w:val="0"/>
              <w:keepLines w:val="0"/>
              <w:widowControl/>
              <w:numPr>
                <w:ilvl w:val="0"/>
                <w:numId w:val="0"/>
              </w:numPr>
              <w:suppressLineNumbers w:val="0"/>
              <w:spacing w:before="0" w:beforeAutospacing="0" w:after="0" w:afterAutospacing="0"/>
              <w:ind w:left="0" w:right="0" w:rightChars="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11、支持审计数据转存：手动或自动将审计数据异地备份至指定FTP服务器上；</w:t>
            </w:r>
          </w:p>
          <w:p>
            <w:pPr>
              <w:keepNext w:val="0"/>
              <w:keepLines w:val="0"/>
              <w:widowControl/>
              <w:numPr>
                <w:ilvl w:val="0"/>
                <w:numId w:val="0"/>
              </w:numPr>
              <w:suppressLineNumbers w:val="0"/>
              <w:spacing w:before="0" w:beforeAutospacing="0" w:after="0" w:afterAutospacing="0"/>
              <w:ind w:left="0" w:right="0" w:rightChars="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★12、支持图形化查看账号改密历史记录，查询结果以鱼骨图按照时间倒序自上而下展示，每个节点详细记录改密信息及结果；支持每个改密节点可以定位、查看和下载密码信封。</w:t>
            </w:r>
          </w:p>
          <w:p>
            <w:pPr>
              <w:keepNext w:val="0"/>
              <w:keepLines w:val="0"/>
              <w:widowControl/>
              <w:numPr>
                <w:ilvl w:val="0"/>
                <w:numId w:val="2"/>
              </w:numPr>
              <w:suppressLineNumbers w:val="0"/>
              <w:spacing w:before="0" w:beforeAutospacing="0" w:after="0" w:afterAutospacing="0"/>
              <w:ind w:left="0" w:right="0" w:rightChars="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支持开启/关闭录屏审计、指令审计、和OCR审计；支持视频压缩机制，包括：帧/秒、分辨率和清晰度。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4"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
              </w:rPr>
              <w:t>项目验收要求</w:t>
            </w:r>
          </w:p>
        </w:tc>
        <w:tc>
          <w:tcPr>
            <w:tcW w:w="7167"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
              </w:rPr>
              <w:t>详见第三项项目验收要求。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9"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售后要求</w:t>
            </w:r>
          </w:p>
        </w:tc>
        <w:tc>
          <w:tcPr>
            <w:tcW w:w="7167"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详见第四项售后服务要求。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33"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其他要求</w:t>
            </w:r>
          </w:p>
        </w:tc>
        <w:tc>
          <w:tcPr>
            <w:tcW w:w="7167" w:type="dxa"/>
            <w:tcBorders>
              <w:top w:val="single" w:color="auto" w:sz="4" w:space="0"/>
              <w:left w:val="nil"/>
              <w:bottom w:val="single" w:color="auto" w:sz="4" w:space="0"/>
              <w:right w:val="single" w:color="auto" w:sz="4" w:space="0"/>
            </w:tcBorders>
            <w:shd w:val="clear" w:color="auto" w:fill="auto"/>
            <w:noWrap/>
            <w:vAlign w:val="center"/>
          </w:tcPr>
          <w:p>
            <w:pPr>
              <w:pStyle w:val="4"/>
              <w:widowControl/>
              <w:numPr>
                <w:ilvl w:val="0"/>
                <w:numId w:val="0"/>
              </w:numPr>
              <w:spacing w:before="312" w:beforeLines="100" w:beforeAutospacing="0"/>
              <w:ind w:leftChars="0" w:right="0" w:rightChars="0" w:firstLine="420" w:firstLineChars="200"/>
              <w:jc w:val="left"/>
              <w:rPr>
                <w:rFonts w:hint="eastAsia" w:ascii="宋体" w:hAnsi="宋体" w:eastAsia="宋体" w:cs="宋体"/>
                <w:sz w:val="21"/>
                <w:szCs w:val="21"/>
              </w:rPr>
            </w:pPr>
            <w:r>
              <w:rPr>
                <w:rFonts w:hint="eastAsia" w:ascii="宋体" w:hAnsi="宋体" w:eastAsia="宋体" w:cs="宋体"/>
                <w:kern w:val="2"/>
                <w:sz w:val="21"/>
                <w:szCs w:val="21"/>
                <w:lang w:eastAsia="zh-CN"/>
              </w:rPr>
              <w:t>中标人指定专业技术人员作为电话咨询服务员，建立由维护工程师组成的电话支持小组，响应采购人的服务请求，协助与直到采购人解决问题。</w:t>
            </w:r>
            <w:r>
              <w:rPr>
                <w:rFonts w:hint="eastAsia" w:ascii="宋体" w:hAnsi="宋体" w:eastAsia="宋体" w:cs="宋体"/>
                <w:kern w:val="0"/>
                <w:sz w:val="21"/>
                <w:szCs w:val="21"/>
                <w:lang w:val="en-US" w:eastAsia="zh-CN" w:bidi="ar"/>
              </w:rPr>
              <w:t>投标人应当加强本项目在采购方工作场所使用设备，特别是笔记本电脑、移动存储介质等便携设备使用的保密管理。接入税务系统网络内使用的设备，必须遵守税务系统关于终端安全管理、移动存储介质管理等要求，要求服务笔记本电脑专网专用，采取必要的技术手段记录便携式设备的使用日志，并防止未经授权接入其他网络使用，投标人应当制定此类便携式设备保密使用管理规定。便携式设备保密使用管理规定的建立和修订需得到采购方的同意后方可实行。</w:t>
            </w:r>
          </w:p>
          <w:p>
            <w:pPr>
              <w:keepNext w:val="0"/>
              <w:keepLines w:val="0"/>
              <w:widowControl/>
              <w:suppressLineNumbers w:val="0"/>
              <w:spacing w:before="0" w:beforeAutospacing="0" w:after="0" w:afterAutospacing="0"/>
              <w:ind w:left="0" w:right="0"/>
              <w:jc w:val="both"/>
              <w:rPr>
                <w:rFonts w:hint="eastAsia" w:ascii="宋体" w:hAnsi="宋体" w:eastAsia="宋体" w:cs="宋体"/>
                <w:kern w:val="0"/>
                <w:sz w:val="21"/>
                <w:szCs w:val="21"/>
                <w:lang w:val="en-US" w:eastAsia="zh-CN" w:bidi="ar"/>
              </w:rPr>
            </w:pPr>
          </w:p>
        </w:tc>
      </w:tr>
    </w:tbl>
    <w:p>
      <w:pPr>
        <w:keepNext w:val="0"/>
        <w:keepLines w:val="0"/>
        <w:widowControl w:val="0"/>
        <w:suppressLineNumbers w:val="0"/>
        <w:spacing w:before="0" w:beforeAutospacing="0" w:after="0" w:afterAutospacing="0"/>
        <w:ind w:left="0" w:right="0"/>
        <w:jc w:val="both"/>
        <w:rPr>
          <w:rFonts w:hint="eastAsia" w:ascii="Calibri" w:hAnsi="Calibri" w:eastAsia="宋体" w:cs="Times New Roman"/>
          <w:kern w:val="2"/>
          <w:sz w:val="21"/>
          <w:szCs w:val="21"/>
        </w:rPr>
      </w:pPr>
    </w:p>
    <w:p/>
    <w:p>
      <w:pPr>
        <w:pStyle w:val="4"/>
        <w:widowControl/>
        <w:numPr>
          <w:ilvl w:val="0"/>
          <w:numId w:val="1"/>
        </w:numPr>
        <w:spacing w:before="312" w:beforeLines="100" w:beforeAutospacing="0"/>
        <w:ind w:left="420" w:hanging="420" w:firstLineChars="0"/>
        <w:jc w:val="left"/>
        <w:rPr>
          <w:rFonts w:hint="eastAsia" w:ascii="仿宋" w:hAnsi="仿宋" w:eastAsia="仿宋" w:cs="Times New Roman"/>
          <w:b/>
          <w:bCs w:val="0"/>
          <w:kern w:val="2"/>
          <w:sz w:val="36"/>
          <w:szCs w:val="36"/>
        </w:rPr>
      </w:pPr>
      <w:r>
        <w:rPr>
          <w:rFonts w:hint="eastAsia" w:ascii="仿宋" w:hAnsi="仿宋" w:eastAsia="仿宋" w:cs="仿宋"/>
          <w:b/>
          <w:bCs w:val="0"/>
          <w:kern w:val="2"/>
          <w:sz w:val="36"/>
          <w:szCs w:val="36"/>
        </w:rPr>
        <w:t>项目实施要求</w:t>
      </w:r>
    </w:p>
    <w:p>
      <w:pPr>
        <w:pStyle w:val="4"/>
        <w:widowControl/>
        <w:numPr>
          <w:ilvl w:val="0"/>
          <w:numId w:val="3"/>
        </w:numPr>
        <w:ind w:left="0" w:firstLine="560"/>
        <w:rPr>
          <w:rFonts w:hint="eastAsia" w:ascii="宋体" w:hAnsi="宋体" w:eastAsia="宋体" w:cs="Times New Roman"/>
          <w:kern w:val="2"/>
          <w:sz w:val="24"/>
          <w:szCs w:val="24"/>
        </w:rPr>
      </w:pPr>
      <w:r>
        <w:rPr>
          <w:rFonts w:hint="eastAsia" w:ascii="宋体" w:hAnsi="宋体" w:eastAsia="宋体" w:cs="宋体"/>
          <w:kern w:val="2"/>
          <w:sz w:val="24"/>
          <w:szCs w:val="24"/>
        </w:rPr>
        <w:t>本项目要求在合同签订</w:t>
      </w:r>
      <w:r>
        <w:rPr>
          <w:rFonts w:hint="eastAsia" w:ascii="宋体" w:hAnsi="宋体" w:cs="Times New Roman"/>
          <w:kern w:val="2"/>
          <w:sz w:val="24"/>
          <w:szCs w:val="24"/>
          <w:lang w:val="en-US" w:eastAsia="zh-CN"/>
        </w:rPr>
        <w:t>7</w:t>
      </w:r>
      <w:r>
        <w:rPr>
          <w:rFonts w:hint="eastAsia" w:ascii="宋体" w:hAnsi="宋体" w:eastAsia="宋体" w:cs="宋体"/>
          <w:kern w:val="2"/>
          <w:sz w:val="24"/>
          <w:szCs w:val="24"/>
        </w:rPr>
        <w:t>日内完成全部设备的到货、现场安装、现场调试，并提供必要的辅材；采购需求的产品（含安装所需的配件），以及相关的安装、调试、运输、保险、税费等全部含税费用</w:t>
      </w:r>
      <w:r>
        <w:rPr>
          <w:rFonts w:hint="eastAsia" w:ascii="宋体" w:hAnsi="宋体" w:cs="宋体"/>
          <w:kern w:val="2"/>
          <w:sz w:val="24"/>
          <w:szCs w:val="24"/>
          <w:lang w:eastAsia="zh-CN"/>
        </w:rPr>
        <w:t>应含在报价内。</w:t>
      </w:r>
    </w:p>
    <w:p>
      <w:pPr>
        <w:pStyle w:val="4"/>
        <w:widowControl/>
        <w:numPr>
          <w:ilvl w:val="0"/>
          <w:numId w:val="3"/>
        </w:numPr>
        <w:ind w:left="0" w:firstLine="560"/>
        <w:rPr>
          <w:rFonts w:hint="eastAsia" w:ascii="宋体" w:hAnsi="宋体" w:eastAsia="宋体" w:cs="Times New Roman"/>
          <w:kern w:val="2"/>
          <w:sz w:val="24"/>
          <w:szCs w:val="24"/>
        </w:rPr>
      </w:pPr>
      <w:r>
        <w:rPr>
          <w:rFonts w:hint="eastAsia" w:ascii="宋体" w:hAnsi="宋体" w:eastAsia="宋体" w:cs="宋体"/>
          <w:kern w:val="2"/>
          <w:sz w:val="24"/>
          <w:szCs w:val="24"/>
        </w:rPr>
        <w:t>提供原厂的设备安装、上电、测试、初始化、配置规划等服务，需满足客户环境的实际需求；</w:t>
      </w:r>
    </w:p>
    <w:p>
      <w:pPr>
        <w:pStyle w:val="4"/>
        <w:widowControl/>
        <w:numPr>
          <w:ilvl w:val="0"/>
          <w:numId w:val="1"/>
        </w:numPr>
        <w:spacing w:before="312" w:beforeLines="100" w:beforeAutospacing="0"/>
        <w:ind w:left="420" w:hanging="420" w:firstLineChars="0"/>
        <w:jc w:val="left"/>
        <w:rPr>
          <w:rFonts w:hint="eastAsia" w:ascii="仿宋" w:hAnsi="仿宋" w:eastAsia="仿宋" w:cs="Times New Roman"/>
          <w:b/>
          <w:bCs w:val="0"/>
          <w:kern w:val="2"/>
          <w:sz w:val="36"/>
          <w:szCs w:val="36"/>
        </w:rPr>
      </w:pPr>
      <w:r>
        <w:rPr>
          <w:rFonts w:hint="eastAsia" w:ascii="仿宋" w:hAnsi="仿宋" w:eastAsia="仿宋" w:cs="仿宋"/>
          <w:b/>
          <w:bCs w:val="0"/>
          <w:kern w:val="2"/>
          <w:sz w:val="36"/>
          <w:szCs w:val="36"/>
        </w:rPr>
        <w:t>项目验收要求</w:t>
      </w:r>
    </w:p>
    <w:p>
      <w:pPr>
        <w:pStyle w:val="4"/>
        <w:widowControl/>
        <w:numPr>
          <w:ilvl w:val="0"/>
          <w:numId w:val="4"/>
        </w:numPr>
        <w:spacing w:line="360" w:lineRule="auto"/>
        <w:ind w:left="0" w:firstLine="560"/>
        <w:rPr>
          <w:rFonts w:hint="eastAsia" w:ascii="宋体" w:hAnsi="宋体" w:eastAsia="宋体" w:cs="Times New Roman"/>
          <w:kern w:val="2"/>
          <w:sz w:val="24"/>
          <w:szCs w:val="24"/>
          <w:shd w:val="clear" w:fill="FFFFFF"/>
        </w:rPr>
      </w:pPr>
      <w:r>
        <w:rPr>
          <w:rFonts w:hint="eastAsia" w:ascii="宋体" w:hAnsi="宋体" w:eastAsia="宋体" w:cs="宋体"/>
          <w:kern w:val="2"/>
          <w:sz w:val="24"/>
          <w:szCs w:val="24"/>
          <w:shd w:val="clear" w:fill="FFFFFF"/>
        </w:rPr>
        <w:t>设备开箱检验时双方均应派员参加，</w:t>
      </w:r>
      <w:r>
        <w:rPr>
          <w:rFonts w:hint="eastAsia" w:ascii="宋体" w:hAnsi="宋体" w:eastAsia="宋体" w:cs="宋体"/>
          <w:color w:val="000000"/>
          <w:kern w:val="2"/>
          <w:sz w:val="24"/>
          <w:szCs w:val="24"/>
          <w:shd w:val="clear" w:fill="FFFFFF"/>
        </w:rPr>
        <w:t>同时需提供原厂授权书原件备查，验收合格后即时签署《货物验收单》（以下</w:t>
      </w:r>
      <w:r>
        <w:rPr>
          <w:rFonts w:hint="eastAsia" w:ascii="宋体" w:hAnsi="宋体" w:eastAsia="宋体" w:cs="宋体"/>
          <w:kern w:val="2"/>
          <w:sz w:val="24"/>
          <w:szCs w:val="24"/>
          <w:shd w:val="clear" w:fill="FFFFFF"/>
        </w:rPr>
        <w:t>简称《验收单》）；</w:t>
      </w:r>
    </w:p>
    <w:p>
      <w:pPr>
        <w:pStyle w:val="4"/>
        <w:widowControl/>
        <w:numPr>
          <w:ilvl w:val="0"/>
          <w:numId w:val="5"/>
        </w:numPr>
        <w:spacing w:line="360" w:lineRule="auto"/>
        <w:ind w:left="0" w:firstLine="560"/>
        <w:rPr>
          <w:rFonts w:hint="eastAsia" w:ascii="宋体" w:hAnsi="宋体" w:eastAsia="宋体" w:cs="Times New Roman"/>
          <w:kern w:val="2"/>
          <w:sz w:val="24"/>
          <w:szCs w:val="24"/>
          <w:shd w:val="clear" w:fill="FFFFFF"/>
        </w:rPr>
      </w:pPr>
      <w:r>
        <w:rPr>
          <w:rFonts w:hint="eastAsia" w:ascii="宋体" w:hAnsi="宋体" w:eastAsia="宋体" w:cs="宋体"/>
          <w:kern w:val="2"/>
          <w:sz w:val="24"/>
          <w:szCs w:val="24"/>
          <w:shd w:val="clear" w:fill="FFFFFF"/>
        </w:rPr>
        <w:t>《验收单》一式二份，一份由采购人留存，作为付款的依据；一份由供应商留存，作为要求付款的凭证。</w:t>
      </w:r>
    </w:p>
    <w:p>
      <w:pPr>
        <w:pStyle w:val="4"/>
        <w:widowControl/>
        <w:numPr>
          <w:ilvl w:val="0"/>
          <w:numId w:val="5"/>
        </w:numPr>
        <w:spacing w:line="360" w:lineRule="auto"/>
        <w:ind w:left="0" w:firstLine="560"/>
        <w:rPr>
          <w:rFonts w:hint="eastAsia" w:ascii="宋体" w:hAnsi="宋体" w:eastAsia="宋体" w:cs="Times New Roman"/>
          <w:kern w:val="2"/>
          <w:sz w:val="24"/>
          <w:szCs w:val="24"/>
          <w:shd w:val="clear" w:fill="FFFFFF"/>
        </w:rPr>
      </w:pPr>
      <w:r>
        <w:rPr>
          <w:rFonts w:hint="eastAsia" w:ascii="宋体" w:hAnsi="宋体" w:eastAsia="宋体" w:cs="宋体"/>
          <w:kern w:val="2"/>
          <w:sz w:val="24"/>
          <w:szCs w:val="24"/>
          <w:shd w:val="clear" w:fill="FFFFFF"/>
        </w:rPr>
        <w:t>供应商应向采购人提供详细的供货清单，当货物到达采购人指定的安装现场后，双方依据供货清单共同对货物进行开箱检验，并对货物的数量、质量等进行逐项检查。</w:t>
      </w:r>
    </w:p>
    <w:p>
      <w:pPr>
        <w:pStyle w:val="4"/>
        <w:widowControl/>
        <w:numPr>
          <w:ilvl w:val="0"/>
          <w:numId w:val="5"/>
        </w:numPr>
        <w:spacing w:line="360" w:lineRule="auto"/>
        <w:ind w:left="0" w:firstLine="560"/>
        <w:rPr>
          <w:rFonts w:hint="eastAsia" w:ascii="宋体" w:hAnsi="宋体" w:eastAsia="宋体" w:cs="Times New Roman"/>
          <w:kern w:val="2"/>
          <w:sz w:val="24"/>
          <w:szCs w:val="24"/>
          <w:shd w:val="clear" w:fill="FFFFFF"/>
        </w:rPr>
      </w:pPr>
      <w:r>
        <w:rPr>
          <w:rFonts w:hint="eastAsia" w:ascii="宋体" w:hAnsi="宋体" w:eastAsia="宋体" w:cs="宋体"/>
          <w:kern w:val="2"/>
          <w:sz w:val="24"/>
          <w:szCs w:val="24"/>
          <w:shd w:val="clear" w:fill="FFFFFF"/>
        </w:rPr>
        <w:t>货物经过双方检验认可后，签署《验收单》。货物质保期，自验收合格之日起计算（辅材除外）。</w:t>
      </w:r>
    </w:p>
    <w:p>
      <w:pPr>
        <w:pStyle w:val="4"/>
        <w:widowControl/>
        <w:numPr>
          <w:ilvl w:val="0"/>
          <w:numId w:val="4"/>
        </w:numPr>
        <w:spacing w:line="360" w:lineRule="auto"/>
        <w:ind w:left="0" w:firstLine="560"/>
        <w:rPr>
          <w:rFonts w:hint="eastAsia" w:ascii="宋体" w:hAnsi="宋体" w:eastAsia="宋体" w:cs="Times New Roman"/>
          <w:color w:val="000000"/>
          <w:kern w:val="2"/>
          <w:sz w:val="24"/>
          <w:szCs w:val="24"/>
          <w:shd w:val="clear" w:fill="FFFFFF"/>
        </w:rPr>
      </w:pPr>
      <w:r>
        <w:rPr>
          <w:rFonts w:hint="eastAsia" w:ascii="宋体" w:hAnsi="宋体" w:eastAsia="宋体" w:cs="宋体"/>
          <w:color w:val="000000"/>
          <w:kern w:val="2"/>
          <w:sz w:val="24"/>
          <w:szCs w:val="24"/>
          <w:shd w:val="clear" w:fill="FFFFFF"/>
        </w:rPr>
        <w:t>保证一次开箱合格率大于或等于98%。随货物应附有装箱单、质量合格证书、保修证书等其他随箱的技术资料等；</w:t>
      </w:r>
    </w:p>
    <w:p>
      <w:pPr>
        <w:pStyle w:val="4"/>
        <w:widowControl/>
        <w:numPr>
          <w:ilvl w:val="0"/>
          <w:numId w:val="4"/>
        </w:numPr>
        <w:spacing w:line="360" w:lineRule="auto"/>
        <w:ind w:left="0" w:firstLine="560"/>
        <w:rPr>
          <w:rFonts w:hint="eastAsia" w:ascii="宋体" w:hAnsi="宋体" w:eastAsia="宋体" w:cs="Times New Roman"/>
          <w:kern w:val="2"/>
          <w:sz w:val="24"/>
          <w:szCs w:val="24"/>
          <w:shd w:val="clear" w:fill="FFFFFF"/>
        </w:rPr>
      </w:pPr>
      <w:r>
        <w:rPr>
          <w:rFonts w:hint="eastAsia" w:ascii="宋体" w:hAnsi="宋体" w:eastAsia="宋体" w:cs="宋体"/>
          <w:kern w:val="2"/>
          <w:sz w:val="24"/>
          <w:szCs w:val="24"/>
          <w:shd w:val="clear" w:fill="FFFFFF"/>
        </w:rPr>
        <w:t>如检验时，发现货物数量不足、规格与合同要求不符或货物短缺或损伤，供应商应及时补足或更换，并在3个工作日内送达甲方指定地点，相关费用供应商承担。同时，供应商保证向采购人提供的技术资料清晰、正确和完整。</w:t>
      </w:r>
    </w:p>
    <w:p>
      <w:pPr>
        <w:pStyle w:val="4"/>
        <w:widowControl/>
        <w:numPr>
          <w:ilvl w:val="0"/>
          <w:numId w:val="1"/>
        </w:numPr>
        <w:spacing w:before="312" w:beforeLines="100" w:beforeAutospacing="0"/>
        <w:ind w:left="420" w:hanging="420" w:firstLineChars="0"/>
        <w:jc w:val="left"/>
        <w:rPr>
          <w:rFonts w:hint="eastAsia" w:ascii="仿宋" w:hAnsi="仿宋" w:eastAsia="仿宋" w:cs="Times New Roman"/>
          <w:b/>
          <w:bCs w:val="0"/>
          <w:kern w:val="2"/>
          <w:sz w:val="36"/>
          <w:szCs w:val="36"/>
        </w:rPr>
      </w:pPr>
      <w:r>
        <w:rPr>
          <w:rFonts w:hint="eastAsia" w:ascii="仿宋" w:hAnsi="仿宋" w:eastAsia="仿宋" w:cs="仿宋"/>
          <w:b/>
          <w:bCs w:val="0"/>
          <w:kern w:val="2"/>
          <w:sz w:val="36"/>
          <w:szCs w:val="36"/>
        </w:rPr>
        <w:t>售后服务要求</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cs="Times New Roman"/>
          <w:kern w:val="2"/>
          <w:sz w:val="24"/>
          <w:szCs w:val="24"/>
          <w:lang w:eastAsia="zh-CN"/>
        </w:rPr>
        <w:t>质量保证期按中标人的投标承诺期限从项目最终验收合格之日起计算。</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cs="Times New Roman"/>
          <w:kern w:val="2"/>
          <w:sz w:val="24"/>
          <w:szCs w:val="24"/>
          <w:lang w:eastAsia="zh-CN"/>
        </w:rPr>
        <w:t>在质量保证期内，中标人提供免费设备维修服务，由此产生的一切费用由中标人承担；因人为因素出现的故障不在免费保修范围内。</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eastAsia="宋体" w:cs="宋体"/>
          <w:kern w:val="2"/>
          <w:sz w:val="24"/>
          <w:szCs w:val="24"/>
        </w:rPr>
        <w:t>所有产品提供</w:t>
      </w:r>
      <w:r>
        <w:rPr>
          <w:rFonts w:hint="eastAsia" w:ascii="宋体" w:hAnsi="宋体" w:cs="Times New Roman"/>
          <w:kern w:val="2"/>
          <w:sz w:val="24"/>
          <w:szCs w:val="24"/>
          <w:lang w:val="en-US" w:eastAsia="zh-CN"/>
        </w:rPr>
        <w:t>2</w:t>
      </w:r>
      <w:r>
        <w:rPr>
          <w:rFonts w:hint="eastAsia" w:ascii="宋体" w:hAnsi="宋体" w:eastAsia="宋体" w:cs="宋体"/>
          <w:kern w:val="2"/>
          <w:sz w:val="24"/>
          <w:szCs w:val="24"/>
        </w:rPr>
        <w:t>年原厂质保服务，软件</w:t>
      </w:r>
      <w:r>
        <w:rPr>
          <w:rFonts w:hint="eastAsia" w:ascii="宋体" w:hAnsi="宋体" w:cs="Times New Roman"/>
          <w:kern w:val="2"/>
          <w:sz w:val="24"/>
          <w:szCs w:val="24"/>
          <w:lang w:val="en-US" w:eastAsia="zh-CN"/>
        </w:rPr>
        <w:t>2</w:t>
      </w:r>
      <w:r>
        <w:rPr>
          <w:rFonts w:hint="eastAsia" w:ascii="宋体" w:hAnsi="宋体" w:eastAsia="宋体" w:cs="宋体"/>
          <w:kern w:val="2"/>
          <w:sz w:val="24"/>
          <w:szCs w:val="24"/>
        </w:rPr>
        <w:t>年免费升级服务，7×24小时技术支持服务；</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eastAsia="宋体" w:cs="宋体"/>
          <w:kern w:val="2"/>
          <w:sz w:val="24"/>
          <w:szCs w:val="24"/>
        </w:rPr>
        <w:t>设备上架及调整期间，要求有原厂工程师现场技术支持；</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eastAsia="宋体" w:cs="宋体"/>
          <w:kern w:val="2"/>
          <w:sz w:val="24"/>
          <w:szCs w:val="24"/>
        </w:rPr>
        <w:t>故障响应时间小于30分钟，工程师到场时间小于</w:t>
      </w:r>
      <w:r>
        <w:rPr>
          <w:rFonts w:hint="eastAsia" w:ascii="宋体" w:hAnsi="宋体" w:cs="宋体"/>
          <w:kern w:val="2"/>
          <w:sz w:val="24"/>
          <w:szCs w:val="24"/>
          <w:lang w:val="en-US" w:eastAsia="zh-CN"/>
        </w:rPr>
        <w:t>2</w:t>
      </w:r>
      <w:r>
        <w:rPr>
          <w:rFonts w:hint="eastAsia" w:ascii="宋体" w:hAnsi="宋体" w:eastAsia="宋体" w:cs="Times New Roman"/>
          <w:color w:val="000000"/>
          <w:kern w:val="2"/>
          <w:sz w:val="24"/>
          <w:szCs w:val="24"/>
        </w:rPr>
        <w:t>4</w:t>
      </w:r>
      <w:r>
        <w:rPr>
          <w:rFonts w:hint="eastAsia" w:ascii="宋体" w:hAnsi="宋体" w:eastAsia="宋体" w:cs="宋体"/>
          <w:kern w:val="2"/>
          <w:sz w:val="24"/>
          <w:szCs w:val="24"/>
        </w:rPr>
        <w:t>小时，每年设备巡检≥2次；</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eastAsia="宋体" w:cs="宋体"/>
          <w:kern w:val="2"/>
          <w:sz w:val="24"/>
          <w:szCs w:val="24"/>
        </w:rPr>
        <w:t>在正常使用过程中发生的故障和部件损坏，供应商提供维护维修服务，更换的部件或配件需为原厂全新产品；</w:t>
      </w:r>
      <w:r>
        <w:rPr>
          <w:rFonts w:hint="eastAsia" w:ascii="宋体" w:hAnsi="宋体" w:cs="宋体"/>
          <w:kern w:val="2"/>
          <w:sz w:val="24"/>
          <w:szCs w:val="24"/>
          <w:lang w:eastAsia="zh-CN"/>
        </w:rPr>
        <w:t>若不能现场及时维修、更换损坏的硬件，则免费提供备用机或周转备件直至维修或跟更换好损坏的硬件。</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cs="宋体"/>
          <w:kern w:val="2"/>
          <w:sz w:val="24"/>
          <w:szCs w:val="24"/>
          <w:lang w:eastAsia="zh-CN"/>
        </w:rPr>
        <w:t>对采购人在使用设备过程中产生的问题，中标人提供电话咨询服务。服务内容包括：在日常维护过程中的操作性问题；设备运行中的提示性问题；设备的功能及配置、组网特点、设备结构问题等。</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cs="宋体"/>
          <w:kern w:val="2"/>
          <w:sz w:val="24"/>
          <w:szCs w:val="24"/>
          <w:lang w:eastAsia="zh-CN"/>
        </w:rPr>
        <w:t>中标人指定专业技术人员作为电话咨询服务员，建立由维护工程师组成的电话支持小组，响应采购人的服务请求，协助与直到采购人解决问题。</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cs="宋体"/>
          <w:kern w:val="2"/>
          <w:sz w:val="24"/>
          <w:szCs w:val="24"/>
          <w:lang w:eastAsia="zh-CN"/>
        </w:rPr>
        <w:t>中标人提供</w:t>
      </w:r>
      <w:r>
        <w:rPr>
          <w:rFonts w:hint="eastAsia" w:ascii="宋体" w:hAnsi="宋体" w:eastAsia="宋体" w:cs="宋体"/>
          <w:kern w:val="2"/>
          <w:sz w:val="24"/>
          <w:szCs w:val="24"/>
        </w:rPr>
        <w:t>7×24小时</w:t>
      </w:r>
      <w:r>
        <w:rPr>
          <w:rFonts w:hint="eastAsia" w:ascii="宋体" w:hAnsi="宋体" w:cs="宋体"/>
          <w:kern w:val="2"/>
          <w:sz w:val="24"/>
          <w:szCs w:val="24"/>
          <w:lang w:eastAsia="zh-CN"/>
        </w:rPr>
        <w:t>的故障服务受理，街道故障处理通知后，一般故障应当在</w:t>
      </w:r>
      <w:r>
        <w:rPr>
          <w:rFonts w:hint="eastAsia" w:ascii="宋体" w:hAnsi="宋体" w:cs="宋体"/>
          <w:kern w:val="2"/>
          <w:sz w:val="24"/>
          <w:szCs w:val="24"/>
          <w:lang w:val="en-US" w:eastAsia="zh-CN"/>
        </w:rPr>
        <w:t>12小时内进行响应并排除；重大故障应当在12小时内响应并提出解决方案，需在24小时内排除。</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cs="宋体"/>
          <w:kern w:val="2"/>
          <w:sz w:val="24"/>
          <w:szCs w:val="24"/>
          <w:lang w:val="en-US" w:eastAsia="zh-CN"/>
        </w:rPr>
        <w:t>如果不能通过电话支持服务和远程支持服务解决设备发生的技术故障，且经双方商议确认需要进行现场支持的情况下，中标人将派技术工程师在1个正常工作日内赴现场排除故障。</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cs="宋体"/>
          <w:kern w:val="2"/>
          <w:sz w:val="24"/>
          <w:szCs w:val="24"/>
          <w:lang w:val="en-US" w:eastAsia="zh-CN"/>
        </w:rPr>
        <w:t>上门进行故障设备或零部件维修，对于无法现场修复的设备或零部件由中标人自己解决外送维修和修复后返回给用户，质保期内不得向用户收取运输费用。</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eastAsia="宋体" w:cs="宋体"/>
          <w:kern w:val="2"/>
          <w:sz w:val="24"/>
          <w:szCs w:val="24"/>
        </w:rPr>
        <w:t>质保期内提供免费上门服务，免费服务内容包括安装、调试、维护、维修、非人为原因换件（换货）等。</w:t>
      </w:r>
    </w:p>
    <w:p>
      <w:pPr>
        <w:pStyle w:val="5"/>
        <w:widowControl/>
        <w:numPr>
          <w:ilvl w:val="0"/>
          <w:numId w:val="6"/>
        </w:numPr>
        <w:ind w:left="0" w:firstLine="560"/>
        <w:rPr>
          <w:rFonts w:hint="eastAsia" w:ascii="宋体" w:hAnsi="宋体" w:eastAsia="宋体" w:cs="Times New Roman"/>
          <w:kern w:val="2"/>
          <w:sz w:val="24"/>
          <w:szCs w:val="24"/>
        </w:rPr>
      </w:pPr>
      <w:r>
        <w:rPr>
          <w:rFonts w:hint="eastAsia" w:ascii="宋体" w:hAnsi="宋体" w:cs="Times New Roman"/>
          <w:kern w:val="2"/>
          <w:sz w:val="24"/>
          <w:szCs w:val="24"/>
          <w:lang w:eastAsia="zh-CN"/>
        </w:rPr>
        <w:t>故障解决后</w:t>
      </w:r>
      <w:r>
        <w:rPr>
          <w:rFonts w:hint="eastAsia" w:ascii="宋体" w:hAnsi="宋体" w:cs="Times New Roman"/>
          <w:kern w:val="2"/>
          <w:sz w:val="24"/>
          <w:szCs w:val="24"/>
          <w:lang w:val="en-US" w:eastAsia="zh-CN"/>
        </w:rPr>
        <w:t>24小时内，应当向用户单位提交故障处理报告。说明故障种类、故障原因、故障解决中使用的方法及故障损失等情况，给采购人的维护工作提供理由充分的参考依据。</w:t>
      </w:r>
    </w:p>
    <w:p>
      <w:pPr>
        <w:pStyle w:val="5"/>
        <w:widowControl/>
        <w:ind w:left="560" w:firstLine="0" w:firstLineChars="0"/>
        <w:rPr>
          <w:rFonts w:hint="eastAsia" w:ascii="宋体" w:hAnsi="宋体" w:eastAsia="宋体" w:cs="Times New Roman"/>
          <w:kern w:val="2"/>
          <w:sz w:val="24"/>
          <w:szCs w:val="24"/>
        </w:rPr>
      </w:pPr>
      <w:r>
        <w:rPr>
          <w:rFonts w:hint="eastAsia" w:ascii="宋体" w:hAnsi="宋体" w:eastAsia="宋体" w:cs="Times New Roman"/>
          <w:kern w:val="2"/>
          <w:sz w:val="24"/>
          <w:szCs w:val="24"/>
        </w:rPr>
        <w:t xml:space="preserve"> </w:t>
      </w:r>
    </w:p>
    <w:p>
      <w:pPr>
        <w:keepNext w:val="0"/>
        <w:keepLines w:val="0"/>
        <w:widowControl w:val="0"/>
        <w:suppressLineNumbers w:val="0"/>
        <w:spacing w:before="0" w:beforeAutospacing="0" w:after="0" w:afterAutospacing="0"/>
        <w:ind w:left="0" w:right="0"/>
        <w:jc w:val="both"/>
        <w:rPr>
          <w:rFonts w:hint="eastAsia" w:ascii="Calibri" w:hAnsi="Calibri" w:eastAsia="宋体" w:cs="Times New Roman"/>
          <w:kern w:val="2"/>
          <w:sz w:val="21"/>
          <w:szCs w:val="21"/>
        </w:rPr>
      </w:pPr>
    </w:p>
    <w:p>
      <w:pPr>
        <w:keepNext w:val="0"/>
        <w:keepLines w:val="0"/>
        <w:widowControl w:val="0"/>
        <w:suppressLineNumbers w:val="0"/>
        <w:overflowPunct w:val="0"/>
        <w:autoSpaceDE w:val="0"/>
        <w:autoSpaceDN w:val="0"/>
        <w:adjustRightInd w:val="0"/>
        <w:snapToGrid w:val="0"/>
        <w:spacing w:before="240" w:beforeAutospacing="0" w:after="240" w:afterAutospacing="0" w:line="560" w:lineRule="exact"/>
        <w:ind w:left="0" w:right="0" w:firstLine="560" w:firstLineChars="200"/>
        <w:jc w:val="left"/>
        <w:textAlignment w:val="baseline"/>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p>
    <w:p>
      <w:pPr>
        <w:pStyle w:val="5"/>
        <w:widowControl/>
        <w:numPr>
          <w:ilvl w:val="0"/>
          <w:numId w:val="0"/>
        </w:numPr>
        <w:ind w:right="0" w:rightChars="0" w:firstLine="840" w:firstLineChars="300"/>
        <w:rPr>
          <w:rFonts w:hint="eastAsia" w:ascii="宋体" w:hAnsi="宋体" w:eastAsia="宋体" w:cs="Times New Roman"/>
          <w:kern w:val="2"/>
          <w:sz w:val="28"/>
          <w:szCs w:val="28"/>
        </w:rPr>
      </w:pPr>
    </w:p>
    <w:p>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CD5244"/>
    <w:multiLevelType w:val="multilevel"/>
    <w:tmpl w:val="D7CD5244"/>
    <w:lvl w:ilvl="0" w:tentative="0">
      <w:start w:val="1"/>
      <w:numFmt w:val="chineseCountingThousand"/>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1">
    <w:nsid w:val="2315788B"/>
    <w:multiLevelType w:val="multilevel"/>
    <w:tmpl w:val="2315788B"/>
    <w:lvl w:ilvl="0" w:tentative="0">
      <w:start w:val="1"/>
      <w:numFmt w:val="chineseCountingThousand"/>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2">
    <w:nsid w:val="345667F8"/>
    <w:multiLevelType w:val="singleLevel"/>
    <w:tmpl w:val="345667F8"/>
    <w:lvl w:ilvl="0" w:tentative="0">
      <w:start w:val="13"/>
      <w:numFmt w:val="decimal"/>
      <w:suff w:val="nothing"/>
      <w:lvlText w:val="%1、"/>
      <w:lvlJc w:val="left"/>
    </w:lvl>
  </w:abstractNum>
  <w:abstractNum w:abstractNumId="3">
    <w:nsid w:val="4E7A244A"/>
    <w:multiLevelType w:val="multilevel"/>
    <w:tmpl w:val="4E7A244A"/>
    <w:lvl w:ilvl="0" w:tentative="0">
      <w:start w:val="1"/>
      <w:numFmt w:val="decimal"/>
      <w:lvlText w:val="%1."/>
      <w:lvlJc w:val="left"/>
      <w:pPr>
        <w:ind w:left="840" w:hanging="420"/>
      </w:pPr>
      <w:rPr>
        <w:rFonts w:hint="default" w:ascii="Times New Roman" w:hAnsi="Times New Roman" w:cs="Times New Roman"/>
      </w:rPr>
    </w:lvl>
    <w:lvl w:ilvl="1" w:tentative="0">
      <w:start w:val="1"/>
      <w:numFmt w:val="lowerLetter"/>
      <w:lvlText w:val="%2)"/>
      <w:lvlJc w:val="left"/>
      <w:pPr>
        <w:ind w:left="1260" w:hanging="420"/>
      </w:pPr>
      <w:rPr>
        <w:rFonts w:hint="default" w:ascii="Times New Roman" w:hAnsi="Times New Roman" w:cs="Times New Roman"/>
      </w:rPr>
    </w:lvl>
    <w:lvl w:ilvl="2" w:tentative="0">
      <w:start w:val="1"/>
      <w:numFmt w:val="lowerRoman"/>
      <w:lvlText w:val="%3."/>
      <w:lvlJc w:val="right"/>
      <w:pPr>
        <w:ind w:left="1680" w:hanging="420"/>
      </w:pPr>
      <w:rPr>
        <w:rFonts w:hint="default" w:ascii="Times New Roman" w:hAnsi="Times New Roman" w:cs="Times New Roman"/>
      </w:rPr>
    </w:lvl>
    <w:lvl w:ilvl="3" w:tentative="0">
      <w:start w:val="1"/>
      <w:numFmt w:val="decimal"/>
      <w:lvlText w:val="%4."/>
      <w:lvlJc w:val="left"/>
      <w:pPr>
        <w:ind w:left="2100" w:hanging="420"/>
      </w:pPr>
      <w:rPr>
        <w:rFonts w:hint="default" w:ascii="Times New Roman" w:hAnsi="Times New Roman" w:cs="Times New Roman"/>
      </w:rPr>
    </w:lvl>
    <w:lvl w:ilvl="4" w:tentative="0">
      <w:start w:val="1"/>
      <w:numFmt w:val="lowerLetter"/>
      <w:lvlText w:val="%5)"/>
      <w:lvlJc w:val="left"/>
      <w:pPr>
        <w:ind w:left="2520" w:hanging="420"/>
      </w:pPr>
      <w:rPr>
        <w:rFonts w:hint="default" w:ascii="Times New Roman" w:hAnsi="Times New Roman" w:cs="Times New Roman"/>
      </w:rPr>
    </w:lvl>
    <w:lvl w:ilvl="5" w:tentative="0">
      <w:start w:val="1"/>
      <w:numFmt w:val="lowerRoman"/>
      <w:lvlText w:val="%6."/>
      <w:lvlJc w:val="right"/>
      <w:pPr>
        <w:ind w:left="2940" w:hanging="420"/>
      </w:pPr>
      <w:rPr>
        <w:rFonts w:hint="default" w:ascii="Times New Roman" w:hAnsi="Times New Roman" w:cs="Times New Roman"/>
      </w:rPr>
    </w:lvl>
    <w:lvl w:ilvl="6" w:tentative="0">
      <w:start w:val="1"/>
      <w:numFmt w:val="decimal"/>
      <w:lvlText w:val="%7."/>
      <w:lvlJc w:val="left"/>
      <w:pPr>
        <w:ind w:left="3360" w:hanging="420"/>
      </w:pPr>
      <w:rPr>
        <w:rFonts w:hint="default" w:ascii="Times New Roman" w:hAnsi="Times New Roman" w:cs="Times New Roman"/>
      </w:rPr>
    </w:lvl>
    <w:lvl w:ilvl="7" w:tentative="0">
      <w:start w:val="1"/>
      <w:numFmt w:val="lowerLetter"/>
      <w:lvlText w:val="%8)"/>
      <w:lvlJc w:val="left"/>
      <w:pPr>
        <w:ind w:left="3780" w:hanging="420"/>
      </w:pPr>
      <w:rPr>
        <w:rFonts w:hint="default" w:ascii="Times New Roman" w:hAnsi="Times New Roman" w:cs="Times New Roman"/>
      </w:rPr>
    </w:lvl>
    <w:lvl w:ilvl="8" w:tentative="0">
      <w:start w:val="1"/>
      <w:numFmt w:val="lowerRoman"/>
      <w:lvlText w:val="%9."/>
      <w:lvlJc w:val="right"/>
      <w:pPr>
        <w:ind w:left="4200" w:hanging="420"/>
      </w:pPr>
      <w:rPr>
        <w:rFonts w:hint="default" w:ascii="Times New Roman" w:hAnsi="Times New Roman" w:cs="Times New Roman"/>
      </w:rPr>
    </w:lvl>
  </w:abstractNum>
  <w:abstractNum w:abstractNumId="4">
    <w:nsid w:val="7002777F"/>
    <w:multiLevelType w:val="multilevel"/>
    <w:tmpl w:val="7002777F"/>
    <w:lvl w:ilvl="0" w:tentative="0">
      <w:start w:val="1"/>
      <w:numFmt w:val="decimal"/>
      <w:lvlText w:val="%1."/>
      <w:lvlJc w:val="left"/>
      <w:pPr>
        <w:ind w:left="840" w:hanging="420"/>
      </w:pPr>
      <w:rPr>
        <w:rFonts w:hint="eastAsia" w:ascii="宋体" w:hAnsi="宋体" w:eastAsia="宋体" w:cs="宋体"/>
        <w:b w:val="0"/>
      </w:rPr>
    </w:lvl>
    <w:lvl w:ilvl="1" w:tentative="0">
      <w:start w:val="1"/>
      <w:numFmt w:val="lowerLetter"/>
      <w:lvlText w:val="%2)"/>
      <w:lvlJc w:val="left"/>
      <w:pPr>
        <w:ind w:left="1260" w:hanging="420"/>
      </w:pPr>
      <w:rPr>
        <w:rFonts w:hint="default" w:ascii="Times New Roman" w:hAnsi="Times New Roman" w:cs="Times New Roman"/>
      </w:rPr>
    </w:lvl>
    <w:lvl w:ilvl="2" w:tentative="0">
      <w:start w:val="1"/>
      <w:numFmt w:val="lowerRoman"/>
      <w:lvlText w:val="%3."/>
      <w:lvlJc w:val="right"/>
      <w:pPr>
        <w:ind w:left="1680" w:hanging="420"/>
      </w:pPr>
      <w:rPr>
        <w:rFonts w:hint="default" w:ascii="Times New Roman" w:hAnsi="Times New Roman" w:cs="Times New Roman"/>
      </w:rPr>
    </w:lvl>
    <w:lvl w:ilvl="3" w:tentative="0">
      <w:start w:val="1"/>
      <w:numFmt w:val="decimal"/>
      <w:lvlText w:val="%4."/>
      <w:lvlJc w:val="left"/>
      <w:pPr>
        <w:ind w:left="2100" w:hanging="420"/>
      </w:pPr>
      <w:rPr>
        <w:rFonts w:hint="default" w:ascii="Times New Roman" w:hAnsi="Times New Roman" w:cs="Times New Roman"/>
      </w:rPr>
    </w:lvl>
    <w:lvl w:ilvl="4" w:tentative="0">
      <w:start w:val="1"/>
      <w:numFmt w:val="lowerLetter"/>
      <w:lvlText w:val="%5)"/>
      <w:lvlJc w:val="left"/>
      <w:pPr>
        <w:ind w:left="2520" w:hanging="420"/>
      </w:pPr>
      <w:rPr>
        <w:rFonts w:hint="default" w:ascii="Times New Roman" w:hAnsi="Times New Roman" w:cs="Times New Roman"/>
      </w:rPr>
    </w:lvl>
    <w:lvl w:ilvl="5" w:tentative="0">
      <w:start w:val="1"/>
      <w:numFmt w:val="lowerRoman"/>
      <w:lvlText w:val="%6."/>
      <w:lvlJc w:val="right"/>
      <w:pPr>
        <w:ind w:left="2940" w:hanging="420"/>
      </w:pPr>
      <w:rPr>
        <w:rFonts w:hint="default" w:ascii="Times New Roman" w:hAnsi="Times New Roman" w:cs="Times New Roman"/>
      </w:rPr>
    </w:lvl>
    <w:lvl w:ilvl="6" w:tentative="0">
      <w:start w:val="1"/>
      <w:numFmt w:val="decimal"/>
      <w:lvlText w:val="%7."/>
      <w:lvlJc w:val="left"/>
      <w:pPr>
        <w:ind w:left="3360" w:hanging="420"/>
      </w:pPr>
      <w:rPr>
        <w:rFonts w:hint="default" w:ascii="Times New Roman" w:hAnsi="Times New Roman" w:cs="Times New Roman"/>
      </w:rPr>
    </w:lvl>
    <w:lvl w:ilvl="7" w:tentative="0">
      <w:start w:val="1"/>
      <w:numFmt w:val="lowerLetter"/>
      <w:lvlText w:val="%8)"/>
      <w:lvlJc w:val="left"/>
      <w:pPr>
        <w:ind w:left="3780" w:hanging="420"/>
      </w:pPr>
      <w:rPr>
        <w:rFonts w:hint="default" w:ascii="Times New Roman" w:hAnsi="Times New Roman" w:cs="Times New Roman"/>
      </w:rPr>
    </w:lvl>
    <w:lvl w:ilvl="8" w:tentative="0">
      <w:start w:val="1"/>
      <w:numFmt w:val="lowerRoman"/>
      <w:lvlText w:val="%9."/>
      <w:lvlJc w:val="right"/>
      <w:pPr>
        <w:ind w:left="4200" w:hanging="420"/>
      </w:pPr>
      <w:rPr>
        <w:rFonts w:hint="default" w:ascii="Times New Roman" w:hAnsi="Times New Roman" w:cs="Times New Roman"/>
      </w:rPr>
    </w:lvl>
  </w:abstractNum>
  <w:abstractNum w:abstractNumId="5">
    <w:nsid w:val="73BCBF87"/>
    <w:multiLevelType w:val="multilevel"/>
    <w:tmpl w:val="73BCBF87"/>
    <w:lvl w:ilvl="0" w:tentative="0">
      <w:start w:val="1"/>
      <w:numFmt w:val="decimal"/>
      <w:lvlText w:val="%1."/>
      <w:lvlJc w:val="left"/>
      <w:pPr>
        <w:ind w:left="840" w:hanging="420"/>
      </w:pPr>
      <w:rPr>
        <w:rFonts w:hint="eastAsia" w:ascii="宋体" w:hAnsi="宋体" w:eastAsia="宋体" w:cs="宋体"/>
        <w:b w:val="0"/>
      </w:rPr>
    </w:lvl>
    <w:lvl w:ilvl="1" w:tentative="0">
      <w:start w:val="1"/>
      <w:numFmt w:val="lowerLetter"/>
      <w:lvlText w:val="%2)"/>
      <w:lvlJc w:val="left"/>
      <w:pPr>
        <w:ind w:left="1260" w:hanging="420"/>
      </w:pPr>
      <w:rPr>
        <w:rFonts w:hint="default" w:ascii="Times New Roman" w:hAnsi="Times New Roman" w:cs="Times New Roman"/>
      </w:rPr>
    </w:lvl>
    <w:lvl w:ilvl="2" w:tentative="0">
      <w:start w:val="1"/>
      <w:numFmt w:val="lowerRoman"/>
      <w:lvlText w:val="%3."/>
      <w:lvlJc w:val="right"/>
      <w:pPr>
        <w:ind w:left="1680" w:hanging="420"/>
      </w:pPr>
      <w:rPr>
        <w:rFonts w:hint="default" w:ascii="Times New Roman" w:hAnsi="Times New Roman" w:cs="Times New Roman"/>
      </w:rPr>
    </w:lvl>
    <w:lvl w:ilvl="3" w:tentative="0">
      <w:start w:val="1"/>
      <w:numFmt w:val="decimal"/>
      <w:lvlText w:val="%4."/>
      <w:lvlJc w:val="left"/>
      <w:pPr>
        <w:ind w:left="2100" w:hanging="420"/>
      </w:pPr>
      <w:rPr>
        <w:rFonts w:hint="default" w:ascii="Times New Roman" w:hAnsi="Times New Roman" w:cs="Times New Roman"/>
      </w:rPr>
    </w:lvl>
    <w:lvl w:ilvl="4" w:tentative="0">
      <w:start w:val="1"/>
      <w:numFmt w:val="lowerLetter"/>
      <w:lvlText w:val="%5)"/>
      <w:lvlJc w:val="left"/>
      <w:pPr>
        <w:ind w:left="2520" w:hanging="420"/>
      </w:pPr>
      <w:rPr>
        <w:rFonts w:hint="default" w:ascii="Times New Roman" w:hAnsi="Times New Roman" w:cs="Times New Roman"/>
      </w:rPr>
    </w:lvl>
    <w:lvl w:ilvl="5" w:tentative="0">
      <w:start w:val="1"/>
      <w:numFmt w:val="lowerRoman"/>
      <w:lvlText w:val="%6."/>
      <w:lvlJc w:val="right"/>
      <w:pPr>
        <w:ind w:left="2940" w:hanging="420"/>
      </w:pPr>
      <w:rPr>
        <w:rFonts w:hint="default" w:ascii="Times New Roman" w:hAnsi="Times New Roman" w:cs="Times New Roman"/>
      </w:rPr>
    </w:lvl>
    <w:lvl w:ilvl="6" w:tentative="0">
      <w:start w:val="1"/>
      <w:numFmt w:val="decimal"/>
      <w:lvlText w:val="%7."/>
      <w:lvlJc w:val="left"/>
      <w:pPr>
        <w:ind w:left="3360" w:hanging="420"/>
      </w:pPr>
      <w:rPr>
        <w:rFonts w:hint="default" w:ascii="Times New Roman" w:hAnsi="Times New Roman" w:cs="Times New Roman"/>
      </w:rPr>
    </w:lvl>
    <w:lvl w:ilvl="7" w:tentative="0">
      <w:start w:val="1"/>
      <w:numFmt w:val="lowerLetter"/>
      <w:lvlText w:val="%8)"/>
      <w:lvlJc w:val="left"/>
      <w:pPr>
        <w:ind w:left="3780" w:hanging="420"/>
      </w:pPr>
      <w:rPr>
        <w:rFonts w:hint="default" w:ascii="Times New Roman" w:hAnsi="Times New Roman" w:cs="Times New Roman"/>
      </w:rPr>
    </w:lvl>
    <w:lvl w:ilvl="8" w:tentative="0">
      <w:start w:val="1"/>
      <w:numFmt w:val="lowerRoman"/>
      <w:lvlText w:val="%9."/>
      <w:lvlJc w:val="right"/>
      <w:pPr>
        <w:ind w:left="4200" w:hanging="420"/>
      </w:pPr>
      <w:rPr>
        <w:rFonts w:hint="default" w:ascii="Times New Roman" w:hAnsi="Times New Roman" w:cs="Times New Roman"/>
      </w:r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lNzYwNzVmYTFjNTE2ZWZmMmMxZjYzYTQ4MzQ4NmUifQ=="/>
  </w:docVars>
  <w:rsids>
    <w:rsidRoot w:val="00000000"/>
    <w:rsid w:val="012F2443"/>
    <w:rsid w:val="27401234"/>
    <w:rsid w:val="29C7539E"/>
    <w:rsid w:val="30875B6C"/>
    <w:rsid w:val="41575AB5"/>
    <w:rsid w:val="439925FC"/>
    <w:rsid w:val="50B1666A"/>
    <w:rsid w:val="542533B1"/>
    <w:rsid w:val="5BB32D20"/>
    <w:rsid w:val="641F4A7A"/>
    <w:rsid w:val="65976B27"/>
    <w:rsid w:val="7AA058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4">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5">
    <w:name w:val="列表段落1"/>
    <w:basedOn w:val="1"/>
    <w:uiPriority w:val="0"/>
    <w:pPr>
      <w:keepNext w:val="0"/>
      <w:keepLines w:val="0"/>
      <w:widowControl w:val="0"/>
      <w:suppressLineNumbers w:val="0"/>
      <w:spacing w:before="0" w:beforeAutospacing="0" w:after="0" w:afterAutospacing="0" w:line="360" w:lineRule="auto"/>
      <w:ind w:left="0" w:right="0" w:firstLine="420" w:firstLineChars="200"/>
      <w:jc w:val="both"/>
    </w:pPr>
    <w:rPr>
      <w:rFonts w:hint="default" w:ascii="Calibri" w:hAnsi="Calibri"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2957</Words>
  <Characters>3083</Characters>
  <Lines>0</Lines>
  <Paragraphs>0</Paragraphs>
  <TotalTime>0</TotalTime>
  <ScaleCrop>false</ScaleCrop>
  <LinksUpToDate>false</LinksUpToDate>
  <CharactersWithSpaces>3086</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2023-02-08T02:24:00Z</dcterms:created>
  <dc:creator>Administrator</dc:creator>
  <cp:lastModifiedBy>网站编辑部</cp:lastModifiedBy>
  <dcterms:modified xsi:type="dcterms:W3CDTF">2025-06-27T06:49:08Z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7B2616D02B1047E7BA1AB98AD426D336</vt:lpwstr>
  </property>
</Properties>
</file>