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Style w:val="5"/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36"/>
          <w:szCs w:val="36"/>
          <w:shd w:val="clear" w:fill="FFFFFF"/>
        </w:rPr>
      </w:pPr>
      <w:r>
        <w:rPr>
          <w:rStyle w:val="5"/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36"/>
          <w:szCs w:val="36"/>
          <w:shd w:val="clear" w:fill="FFFFFF"/>
        </w:rPr>
        <w:t>中华人民共和国车船税法</w:t>
      </w:r>
    </w:p>
    <w:p>
      <w:pPr>
        <w:jc w:val="center"/>
        <w:rPr>
          <w:rStyle w:val="5"/>
          <w:rFonts w:hint="eastAsia" w:ascii="宋体" w:hAnsi="宋体" w:eastAsia="宋体" w:cs="宋体"/>
          <w:i w:val="0"/>
          <w:caps w:val="0"/>
          <w:color w:val="000000"/>
          <w:spacing w:val="0"/>
          <w:sz w:val="36"/>
          <w:szCs w:val="36"/>
          <w:shd w:val="clear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宋体" w:eastAsia="楷体_GB2312" w:cs="楷体_GB2312"/>
          <w:i w:val="0"/>
          <w:caps w:val="0"/>
          <w:color w:val="000000"/>
          <w:spacing w:val="0"/>
          <w:sz w:val="24"/>
          <w:szCs w:val="24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第一条 在中华人民共和国境内属于本法所附《车船税税目税额表》规定的车辆、船舶（以下简称车船）的所有人或者管理人，为车船税的纳税人，应当依照本法缴纳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车船税。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T Extra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0AFF" w:usb1="00007843" w:usb2="00000001" w:usb3="00000000" w:csb0="400001BF" w:csb1="DFF7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Segoe UI 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3A12F1"/>
    <w:rsid w:val="219C7FB1"/>
    <w:rsid w:val="22CE4C10"/>
    <w:rsid w:val="4B3A12F1"/>
    <w:rsid w:val="6C49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Office_11.3.0.8632_F1E327BC-269C-435d-A152-05C5408002CA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2019-11-09T00:49:00Z</dcterms:created>
  <dc:creator>小l</dc:creator>
  <cp:lastModifiedBy>东北大茧</cp:lastModifiedBy>
  <dcterms:modified xsi:type="dcterms:W3CDTF">2019-11-09T01:59:55Z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2052-11.3.0.8632</vt:lpwstr>
  </property>
</Properties>
</file>